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A3B1" w14:textId="77777777" w:rsidR="0008636A" w:rsidRDefault="0008636A" w:rsidP="0008636A">
      <w:pPr>
        <w:pStyle w:val="BodyText"/>
        <w:spacing w:before="232"/>
        <w:jc w:val="both"/>
      </w:pPr>
    </w:p>
    <w:p w14:paraId="63AA646C" w14:textId="4CEA5F3E" w:rsidR="0008636A" w:rsidRDefault="0008636A" w:rsidP="0008636A">
      <w:pPr>
        <w:pStyle w:val="BodyText"/>
        <w:spacing w:before="232"/>
        <w:jc w:val="both"/>
      </w:pPr>
      <w:r>
        <w:t>Honorable</w:t>
      </w:r>
      <w:r>
        <w:rPr>
          <w:spacing w:val="-6"/>
        </w:rPr>
        <w:t xml:space="preserve"> </w:t>
      </w:r>
      <w:r>
        <w:t>Members</w:t>
      </w:r>
      <w:r>
        <w:rPr>
          <w:spacing w:val="-6"/>
        </w:rPr>
        <w:t xml:space="preserve"> </w:t>
      </w:r>
      <w:r>
        <w:t>of</w:t>
      </w:r>
      <w:r>
        <w:rPr>
          <w:spacing w:val="-7"/>
        </w:rPr>
        <w:t xml:space="preserve"> </w:t>
      </w:r>
      <w:r>
        <w:t>the</w:t>
      </w:r>
      <w:r>
        <w:rPr>
          <w:spacing w:val="-7"/>
        </w:rPr>
        <w:t xml:space="preserve"> </w:t>
      </w:r>
      <w:r>
        <w:t>General</w:t>
      </w:r>
      <w:r>
        <w:rPr>
          <w:spacing w:val="-5"/>
        </w:rPr>
        <w:t xml:space="preserve"> </w:t>
      </w:r>
      <w:r>
        <w:rPr>
          <w:spacing w:val="-2"/>
        </w:rPr>
        <w:t>Assembly:</w:t>
      </w:r>
    </w:p>
    <w:p w14:paraId="1ADB6013" w14:textId="77777777" w:rsidR="0008636A" w:rsidRDefault="0008636A" w:rsidP="0008636A">
      <w:pPr>
        <w:pStyle w:val="BodyText"/>
        <w:spacing w:before="3"/>
        <w:rPr>
          <w:sz w:val="31"/>
        </w:rPr>
      </w:pPr>
    </w:p>
    <w:p w14:paraId="6D016E66" w14:textId="77777777" w:rsidR="0008636A" w:rsidRDefault="0008636A" w:rsidP="0008636A">
      <w:pPr>
        <w:pStyle w:val="BodyText"/>
        <w:spacing w:before="1" w:line="276" w:lineRule="auto"/>
        <w:jc w:val="both"/>
      </w:pPr>
      <w:r>
        <w:t>The</w:t>
      </w:r>
      <w:r>
        <w:rPr>
          <w:spacing w:val="-3"/>
        </w:rPr>
        <w:t xml:space="preserve"> </w:t>
      </w:r>
      <w:r>
        <w:t>Illinois</w:t>
      </w:r>
      <w:r>
        <w:rPr>
          <w:spacing w:val="-3"/>
        </w:rPr>
        <w:t xml:space="preserve"> </w:t>
      </w:r>
      <w:r>
        <w:t>Department of</w:t>
      </w:r>
      <w:r>
        <w:rPr>
          <w:spacing w:val="-3"/>
        </w:rPr>
        <w:t xml:space="preserve"> </w:t>
      </w:r>
      <w:r>
        <w:t>Employment</w:t>
      </w:r>
      <w:r>
        <w:rPr>
          <w:spacing w:val="-3"/>
        </w:rPr>
        <w:t xml:space="preserve"> </w:t>
      </w:r>
      <w:r>
        <w:t>Security</w:t>
      </w:r>
      <w:r>
        <w:rPr>
          <w:spacing w:val="-4"/>
        </w:rPr>
        <w:t xml:space="preserve"> </w:t>
      </w:r>
      <w:r>
        <w:t>(IDES)</w:t>
      </w:r>
      <w:r>
        <w:rPr>
          <w:spacing w:val="-3"/>
        </w:rPr>
        <w:t xml:space="preserve"> </w:t>
      </w:r>
      <w:r>
        <w:t>is</w:t>
      </w:r>
      <w:r>
        <w:rPr>
          <w:spacing w:val="-3"/>
        </w:rPr>
        <w:t xml:space="preserve"> </w:t>
      </w:r>
      <w:r>
        <w:t>providing</w:t>
      </w:r>
      <w:r>
        <w:rPr>
          <w:spacing w:val="-3"/>
        </w:rPr>
        <w:t xml:space="preserve"> </w:t>
      </w:r>
      <w:r>
        <w:t>this</w:t>
      </w:r>
      <w:r>
        <w:rPr>
          <w:spacing w:val="-3"/>
        </w:rPr>
        <w:t xml:space="preserve"> </w:t>
      </w:r>
      <w:r>
        <w:t>notice</w:t>
      </w:r>
      <w:r>
        <w:rPr>
          <w:spacing w:val="-3"/>
        </w:rPr>
        <w:t xml:space="preserve"> </w:t>
      </w:r>
      <w:r>
        <w:t>in</w:t>
      </w:r>
      <w:r>
        <w:rPr>
          <w:spacing w:val="-3"/>
        </w:rPr>
        <w:t xml:space="preserve"> </w:t>
      </w:r>
      <w:r>
        <w:t xml:space="preserve">accordance with the Illinois Personal Information Protection Act, 815 ILCS 530/1/ </w:t>
      </w:r>
      <w:r>
        <w:rPr>
          <w:i/>
        </w:rPr>
        <w:t xml:space="preserve">et seq. </w:t>
      </w:r>
      <w:r>
        <w:t>(the Act).</w:t>
      </w:r>
    </w:p>
    <w:p w14:paraId="6AF5336B" w14:textId="77777777" w:rsidR="0008636A" w:rsidRPr="00E50A52" w:rsidRDefault="0008636A" w:rsidP="0008636A">
      <w:pPr>
        <w:pStyle w:val="BodyText"/>
        <w:spacing w:before="5"/>
        <w:jc w:val="both"/>
      </w:pPr>
    </w:p>
    <w:p w14:paraId="5BC26D28" w14:textId="3223619C" w:rsidR="0008636A" w:rsidRPr="0008636A" w:rsidRDefault="0008636A" w:rsidP="0008636A">
      <w:pPr>
        <w:pStyle w:val="BodyText"/>
        <w:spacing w:before="5"/>
        <w:jc w:val="both"/>
      </w:pPr>
      <w:r w:rsidRPr="00E50A52">
        <w:t xml:space="preserve">On August 27, 2025, </w:t>
      </w:r>
      <w:r>
        <w:t>an IDES employee sent an email to IDES customers and partners.  A</w:t>
      </w:r>
      <w:r w:rsidR="00007628">
        <w:t>ccidently a</w:t>
      </w:r>
      <w:r>
        <w:t xml:space="preserve">ttached to the email was an Excel spreadsheet containing individuals’ personally identifying information (PII).  The PII included the name, email address, Claimant Identification Number, and Participation ID Number of less than 1,000 IDES customers.  The Excel spreadsheet did not include any Social Security numbers, driver’s license numbers, State identification numbers, or banking information.  Upon learning of the incident, IDES immediately recalled the </w:t>
      </w:r>
      <w:r w:rsidRPr="0008636A">
        <w:t>email with the attachment and sent correspondence to the recipients informing them of their legal obligations regarding their possession of the information.  Additionally, the IDES employee was questioned regarding the incident, and it was determined that he accidently attached an incorrect Excel spreadsheet to a standard email that is sent routinely.</w:t>
      </w:r>
      <w:r w:rsidR="00007628">
        <w:t xml:space="preserve">  This matter did not involve a breach of any electronic system.</w:t>
      </w:r>
    </w:p>
    <w:p w14:paraId="4CE276EA" w14:textId="77777777" w:rsidR="0008636A" w:rsidRPr="0008636A" w:rsidRDefault="0008636A" w:rsidP="0008636A">
      <w:pPr>
        <w:pStyle w:val="BodyText"/>
        <w:spacing w:before="5"/>
        <w:jc w:val="both"/>
      </w:pPr>
    </w:p>
    <w:p w14:paraId="26F8D19E" w14:textId="77777777" w:rsidR="0008636A" w:rsidRPr="0008636A" w:rsidRDefault="0008636A" w:rsidP="0008636A">
      <w:pPr>
        <w:pStyle w:val="BodyText"/>
        <w:spacing w:before="5"/>
        <w:jc w:val="both"/>
      </w:pPr>
      <w:r w:rsidRPr="0008636A">
        <w:t>Pursuant to the Act, IDES</w:t>
      </w:r>
      <w:r w:rsidRPr="0008636A">
        <w:rPr>
          <w:spacing w:val="-10"/>
        </w:rPr>
        <w:t xml:space="preserve"> </w:t>
      </w:r>
      <w:r w:rsidRPr="0008636A">
        <w:t>will</w:t>
      </w:r>
      <w:r w:rsidRPr="0008636A">
        <w:rPr>
          <w:spacing w:val="-10"/>
        </w:rPr>
        <w:t xml:space="preserve"> </w:t>
      </w:r>
      <w:r w:rsidRPr="0008636A">
        <w:t>provide</w:t>
      </w:r>
      <w:r w:rsidRPr="0008636A">
        <w:rPr>
          <w:spacing w:val="-11"/>
        </w:rPr>
        <w:t xml:space="preserve"> </w:t>
      </w:r>
      <w:r w:rsidRPr="0008636A">
        <w:t>all</w:t>
      </w:r>
      <w:r w:rsidRPr="0008636A">
        <w:rPr>
          <w:spacing w:val="-11"/>
        </w:rPr>
        <w:t xml:space="preserve"> </w:t>
      </w:r>
      <w:r w:rsidRPr="0008636A">
        <w:t>identifiable</w:t>
      </w:r>
      <w:r w:rsidRPr="0008636A">
        <w:rPr>
          <w:spacing w:val="-11"/>
        </w:rPr>
        <w:t xml:space="preserve"> </w:t>
      </w:r>
      <w:r w:rsidRPr="0008636A">
        <w:t>individuals</w:t>
      </w:r>
      <w:r w:rsidRPr="0008636A">
        <w:rPr>
          <w:spacing w:val="-10"/>
        </w:rPr>
        <w:t xml:space="preserve"> </w:t>
      </w:r>
      <w:r w:rsidRPr="0008636A">
        <w:t>whose</w:t>
      </w:r>
      <w:r w:rsidRPr="0008636A">
        <w:rPr>
          <w:spacing w:val="-11"/>
        </w:rPr>
        <w:t xml:space="preserve"> </w:t>
      </w:r>
      <w:r w:rsidRPr="0008636A">
        <w:t>PII</w:t>
      </w:r>
      <w:r w:rsidRPr="0008636A">
        <w:rPr>
          <w:spacing w:val="-15"/>
        </w:rPr>
        <w:t xml:space="preserve"> </w:t>
      </w:r>
      <w:r w:rsidRPr="0008636A">
        <w:t>has</w:t>
      </w:r>
      <w:r w:rsidRPr="0008636A">
        <w:rPr>
          <w:spacing w:val="-10"/>
        </w:rPr>
        <w:t xml:space="preserve"> </w:t>
      </w:r>
      <w:r w:rsidRPr="0008636A">
        <w:t>been</w:t>
      </w:r>
      <w:r w:rsidRPr="0008636A">
        <w:rPr>
          <w:spacing w:val="-11"/>
        </w:rPr>
        <w:t xml:space="preserve"> </w:t>
      </w:r>
      <w:r w:rsidRPr="0008636A">
        <w:t xml:space="preserve">distributed with toll-free numbers and addresses for consumer reporting agencies, a toll-free number along with mailing and website addresses for the Federal Trade Commission, and a statement that the individual can obtain information about fraud alerts and security freezes from these sources. </w:t>
      </w:r>
    </w:p>
    <w:p w14:paraId="328E4F60" w14:textId="77777777" w:rsidR="0008636A" w:rsidRPr="0008636A" w:rsidRDefault="0008636A" w:rsidP="0008636A">
      <w:pPr>
        <w:pStyle w:val="BodyText"/>
        <w:rPr>
          <w:sz w:val="26"/>
        </w:rPr>
      </w:pPr>
    </w:p>
    <w:p w14:paraId="1887D977" w14:textId="77777777" w:rsidR="0008636A" w:rsidRPr="0008636A" w:rsidRDefault="0008636A" w:rsidP="0008636A">
      <w:pPr>
        <w:pStyle w:val="BodyText"/>
        <w:spacing w:before="4"/>
        <w:rPr>
          <w:sz w:val="29"/>
        </w:rPr>
      </w:pPr>
    </w:p>
    <w:p w14:paraId="2EAE5790" w14:textId="77777777" w:rsidR="0008636A" w:rsidRPr="0008636A" w:rsidRDefault="0008636A" w:rsidP="0008636A">
      <w:pPr>
        <w:pStyle w:val="BodyText"/>
        <w:ind w:left="100"/>
      </w:pPr>
      <w:r w:rsidRPr="0008636A">
        <w:rPr>
          <w:spacing w:val="-2"/>
        </w:rPr>
        <w:t>Sincerely,</w:t>
      </w:r>
    </w:p>
    <w:p w14:paraId="71620507" w14:textId="77777777" w:rsidR="0008636A" w:rsidRPr="0008636A" w:rsidRDefault="0008636A" w:rsidP="0008636A">
      <w:pPr>
        <w:pStyle w:val="BodyText"/>
        <w:spacing w:before="1"/>
        <w:rPr>
          <w:sz w:val="31"/>
        </w:rPr>
      </w:pPr>
    </w:p>
    <w:p w14:paraId="7AF4E435" w14:textId="77777777" w:rsidR="0008636A" w:rsidRDefault="0008636A" w:rsidP="0008636A">
      <w:pPr>
        <w:ind w:left="101" w:right="7347"/>
        <w:contextualSpacing/>
        <w:rPr>
          <w:rFonts w:ascii="Times New Roman" w:hAnsi="Times New Roman"/>
          <w:i/>
          <w:sz w:val="24"/>
        </w:rPr>
      </w:pPr>
      <w:r w:rsidRPr="0008636A">
        <w:rPr>
          <w:rFonts w:ascii="Times New Roman" w:hAnsi="Times New Roman"/>
          <w:sz w:val="24"/>
          <w:u w:val="single"/>
        </w:rPr>
        <w:t xml:space="preserve">s/ </w:t>
      </w:r>
      <w:r w:rsidRPr="0008636A">
        <w:rPr>
          <w:rFonts w:ascii="Times New Roman" w:hAnsi="Times New Roman"/>
          <w:i/>
          <w:sz w:val="24"/>
          <w:u w:val="single"/>
        </w:rPr>
        <w:t>Kevin Lovellette</w:t>
      </w:r>
    </w:p>
    <w:p w14:paraId="55F0CD1B" w14:textId="2768CFB4" w:rsidR="0008636A" w:rsidRDefault="0008636A" w:rsidP="0008636A">
      <w:pPr>
        <w:ind w:left="101" w:right="7347"/>
        <w:contextualSpacing/>
        <w:rPr>
          <w:rFonts w:ascii="Times New Roman" w:hAnsi="Times New Roman"/>
          <w:sz w:val="24"/>
        </w:rPr>
      </w:pPr>
      <w:r w:rsidRPr="0008636A">
        <w:rPr>
          <w:rFonts w:ascii="Times New Roman" w:hAnsi="Times New Roman"/>
          <w:sz w:val="24"/>
        </w:rPr>
        <w:t>Kevin Lovellette</w:t>
      </w:r>
    </w:p>
    <w:p w14:paraId="5867D5F4" w14:textId="43455593" w:rsidR="0008636A" w:rsidRPr="0008636A" w:rsidRDefault="0008636A" w:rsidP="0008636A">
      <w:pPr>
        <w:spacing w:after="0"/>
        <w:ind w:left="101" w:right="7347"/>
        <w:contextualSpacing/>
        <w:rPr>
          <w:rFonts w:ascii="Times New Roman" w:hAnsi="Times New Roman"/>
          <w:sz w:val="24"/>
        </w:rPr>
      </w:pPr>
      <w:r w:rsidRPr="0008636A">
        <w:rPr>
          <w:rFonts w:ascii="Times New Roman" w:hAnsi="Times New Roman"/>
          <w:sz w:val="24"/>
        </w:rPr>
        <w:t>Chief</w:t>
      </w:r>
      <w:r w:rsidRPr="0008636A">
        <w:rPr>
          <w:rFonts w:ascii="Times New Roman" w:hAnsi="Times New Roman"/>
          <w:spacing w:val="-15"/>
          <w:sz w:val="24"/>
        </w:rPr>
        <w:t xml:space="preserve"> </w:t>
      </w:r>
      <w:r w:rsidRPr="0008636A">
        <w:rPr>
          <w:rFonts w:ascii="Times New Roman" w:hAnsi="Times New Roman"/>
          <w:sz w:val="24"/>
        </w:rPr>
        <w:t>Legal</w:t>
      </w:r>
      <w:r w:rsidRPr="0008636A">
        <w:rPr>
          <w:rFonts w:ascii="Times New Roman" w:hAnsi="Times New Roman"/>
          <w:spacing w:val="-15"/>
          <w:sz w:val="24"/>
        </w:rPr>
        <w:t xml:space="preserve"> </w:t>
      </w:r>
      <w:r w:rsidRPr="0008636A">
        <w:rPr>
          <w:rFonts w:ascii="Times New Roman" w:hAnsi="Times New Roman"/>
          <w:sz w:val="24"/>
        </w:rPr>
        <w:t>Counsel</w:t>
      </w:r>
    </w:p>
    <w:p w14:paraId="2287C796" w14:textId="77777777" w:rsidR="0008636A" w:rsidRPr="0008636A" w:rsidRDefault="0008636A" w:rsidP="0008636A">
      <w:pPr>
        <w:pStyle w:val="BodyText"/>
        <w:spacing w:line="276" w:lineRule="auto"/>
        <w:ind w:left="101" w:right="4994"/>
        <w:contextualSpacing/>
      </w:pPr>
      <w:r w:rsidRPr="0008636A">
        <w:t>Illinois</w:t>
      </w:r>
      <w:r w:rsidRPr="0008636A">
        <w:rPr>
          <w:spacing w:val="-10"/>
        </w:rPr>
        <w:t xml:space="preserve"> </w:t>
      </w:r>
      <w:r w:rsidRPr="0008636A">
        <w:t>Department</w:t>
      </w:r>
      <w:r w:rsidRPr="0008636A">
        <w:rPr>
          <w:spacing w:val="-10"/>
        </w:rPr>
        <w:t xml:space="preserve"> </w:t>
      </w:r>
      <w:r w:rsidRPr="0008636A">
        <w:t>of</w:t>
      </w:r>
      <w:r w:rsidRPr="0008636A">
        <w:rPr>
          <w:spacing w:val="-10"/>
        </w:rPr>
        <w:t xml:space="preserve"> </w:t>
      </w:r>
      <w:r w:rsidRPr="0008636A">
        <w:t>Employment</w:t>
      </w:r>
      <w:r w:rsidRPr="0008636A">
        <w:rPr>
          <w:spacing w:val="-10"/>
        </w:rPr>
        <w:t xml:space="preserve"> </w:t>
      </w:r>
      <w:r w:rsidRPr="0008636A">
        <w:t>Services 115 S. LaSalle Street, Floor LL2</w:t>
      </w:r>
    </w:p>
    <w:p w14:paraId="4E008614" w14:textId="77777777" w:rsidR="0008636A" w:rsidRPr="0008636A" w:rsidRDefault="0008636A" w:rsidP="0008636A">
      <w:pPr>
        <w:pStyle w:val="BodyText"/>
        <w:spacing w:before="1"/>
        <w:ind w:left="101"/>
        <w:contextualSpacing/>
      </w:pPr>
      <w:r w:rsidRPr="0008636A">
        <w:t>Chicago,</w:t>
      </w:r>
      <w:r w:rsidRPr="0008636A">
        <w:rPr>
          <w:spacing w:val="-2"/>
        </w:rPr>
        <w:t xml:space="preserve"> </w:t>
      </w:r>
      <w:r w:rsidRPr="0008636A">
        <w:t>Illinois</w:t>
      </w:r>
      <w:r w:rsidRPr="0008636A">
        <w:rPr>
          <w:spacing w:val="-3"/>
        </w:rPr>
        <w:t xml:space="preserve"> </w:t>
      </w:r>
      <w:r w:rsidRPr="0008636A">
        <w:rPr>
          <w:spacing w:val="-2"/>
        </w:rPr>
        <w:t>60603</w:t>
      </w:r>
    </w:p>
    <w:p w14:paraId="05249D23" w14:textId="77777777" w:rsidR="0008636A" w:rsidRDefault="0008636A" w:rsidP="0008636A">
      <w:pPr>
        <w:pStyle w:val="BodyText"/>
        <w:spacing w:before="41"/>
        <w:ind w:left="101"/>
        <w:contextualSpacing/>
        <w:rPr>
          <w:spacing w:val="-4"/>
        </w:rPr>
      </w:pPr>
      <w:r w:rsidRPr="0008636A">
        <w:t>(312)</w:t>
      </w:r>
      <w:r w:rsidRPr="0008636A">
        <w:rPr>
          <w:spacing w:val="-15"/>
        </w:rPr>
        <w:t xml:space="preserve"> </w:t>
      </w:r>
      <w:r w:rsidRPr="0008636A">
        <w:t>793-</w:t>
      </w:r>
      <w:r w:rsidRPr="0008636A">
        <w:rPr>
          <w:spacing w:val="-4"/>
        </w:rPr>
        <w:t>1224</w:t>
      </w:r>
    </w:p>
    <w:p w14:paraId="4F2BA72A" w14:textId="77777777" w:rsidR="0008636A" w:rsidRPr="0008636A" w:rsidRDefault="0008636A" w:rsidP="0008636A">
      <w:pPr>
        <w:pStyle w:val="BodyText"/>
        <w:spacing w:before="41"/>
        <w:ind w:left="100"/>
      </w:pPr>
    </w:p>
    <w:sectPr w:rsidR="0008636A" w:rsidRPr="0008636A" w:rsidSect="0021663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970B" w14:textId="77777777" w:rsidR="00F77C9C" w:rsidRDefault="00F77C9C" w:rsidP="00853C14">
      <w:pPr>
        <w:spacing w:after="0" w:line="240" w:lineRule="auto"/>
      </w:pPr>
      <w:r>
        <w:separator/>
      </w:r>
    </w:p>
  </w:endnote>
  <w:endnote w:type="continuationSeparator" w:id="0">
    <w:p w14:paraId="2C065528" w14:textId="77777777" w:rsidR="00F77C9C" w:rsidRDefault="00F77C9C" w:rsidP="0085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9CEA" w14:textId="124D3CE6" w:rsidR="000E575F" w:rsidRDefault="00605618" w:rsidP="000E575F">
    <w:pPr>
      <w:pStyle w:val="Footer"/>
      <w:jc w:val="center"/>
    </w:pPr>
    <w:r>
      <w:rPr>
        <w:rFonts w:ascii="Times New Roman" w:hAnsi="Times New Roman"/>
        <w:sz w:val="18"/>
        <w:szCs w:val="18"/>
      </w:rPr>
      <w:t>115</w:t>
    </w:r>
    <w:r w:rsidR="000E575F" w:rsidRPr="00993171">
      <w:rPr>
        <w:rFonts w:ascii="Times New Roman" w:hAnsi="Times New Roman"/>
        <w:sz w:val="18"/>
        <w:szCs w:val="18"/>
      </w:rPr>
      <w:t xml:space="preserve"> South </w:t>
    </w:r>
    <w:r>
      <w:rPr>
        <w:rFonts w:ascii="Times New Roman" w:hAnsi="Times New Roman"/>
        <w:sz w:val="18"/>
        <w:szCs w:val="18"/>
      </w:rPr>
      <w:t>LaSalle</w:t>
    </w:r>
    <w:r w:rsidR="000E575F" w:rsidRPr="00993171">
      <w:rPr>
        <w:rFonts w:ascii="Times New Roman" w:hAnsi="Times New Roman"/>
        <w:sz w:val="18"/>
        <w:szCs w:val="18"/>
      </w:rPr>
      <w:t xml:space="preserve"> Street | Chicago, Illinois 6</w:t>
    </w:r>
    <w:r w:rsidR="000E575F">
      <w:rPr>
        <w:rFonts w:ascii="Times New Roman" w:hAnsi="Times New Roman"/>
        <w:sz w:val="18"/>
        <w:szCs w:val="18"/>
      </w:rPr>
      <w:t>0603-2802 | www.ides.illinois.gov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4C13" w14:textId="77777777" w:rsidR="00F77C9C" w:rsidRDefault="00F77C9C" w:rsidP="00853C14">
      <w:pPr>
        <w:spacing w:after="0" w:line="240" w:lineRule="auto"/>
      </w:pPr>
      <w:r>
        <w:separator/>
      </w:r>
    </w:p>
  </w:footnote>
  <w:footnote w:type="continuationSeparator" w:id="0">
    <w:p w14:paraId="582033D6" w14:textId="77777777" w:rsidR="00F77C9C" w:rsidRDefault="00F77C9C" w:rsidP="00853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745"/>
      <w:gridCol w:w="6599"/>
      <w:gridCol w:w="2456"/>
    </w:tblGrid>
    <w:tr w:rsidR="00EF3404" w:rsidRPr="006606E1" w14:paraId="4A423554" w14:textId="77777777" w:rsidTr="003C226C">
      <w:trPr>
        <w:trHeight w:val="637"/>
      </w:trPr>
      <w:tc>
        <w:tcPr>
          <w:tcW w:w="808" w:type="pct"/>
          <w:vAlign w:val="bottom"/>
        </w:tcPr>
        <w:p w14:paraId="21429EBF" w14:textId="6CEAD471" w:rsidR="00EF3404" w:rsidRPr="00B92B55" w:rsidRDefault="00E84CEA" w:rsidP="00EF3404">
          <w:pPr>
            <w:pStyle w:val="Header"/>
            <w:rPr>
              <w:rFonts w:ascii="Times New Roman" w:hAnsi="Times New Roman"/>
              <w:sz w:val="18"/>
              <w:szCs w:val="18"/>
            </w:rPr>
          </w:pPr>
          <w:r>
            <w:rPr>
              <w:rFonts w:ascii="Times New Roman" w:hAnsi="Times New Roman"/>
              <w:sz w:val="18"/>
              <w:szCs w:val="18"/>
            </w:rPr>
            <w:t>JB Pritzker</w:t>
          </w:r>
        </w:p>
        <w:p w14:paraId="13D0D291" w14:textId="77777777" w:rsidR="00EF3404" w:rsidRDefault="00EF3404" w:rsidP="00B92B55">
          <w:pPr>
            <w:pStyle w:val="Header"/>
            <w:rPr>
              <w:rFonts w:ascii="Times New Roman" w:hAnsi="Times New Roman"/>
              <w:i/>
              <w:sz w:val="18"/>
              <w:szCs w:val="18"/>
            </w:rPr>
          </w:pPr>
          <w:r w:rsidRPr="00B92B55">
            <w:rPr>
              <w:rFonts w:ascii="Times New Roman" w:hAnsi="Times New Roman"/>
              <w:i/>
              <w:sz w:val="18"/>
              <w:szCs w:val="18"/>
            </w:rPr>
            <w:t>Governor</w:t>
          </w:r>
        </w:p>
        <w:p w14:paraId="4D2ABB99" w14:textId="77777777" w:rsidR="00EF3404" w:rsidRPr="006606E1" w:rsidRDefault="00EF3404" w:rsidP="00B92B55">
          <w:pPr>
            <w:pStyle w:val="Header"/>
            <w:rPr>
              <w:i/>
              <w:sz w:val="16"/>
              <w:szCs w:val="16"/>
            </w:rPr>
          </w:pPr>
        </w:p>
      </w:tc>
      <w:tc>
        <w:tcPr>
          <w:tcW w:w="3055" w:type="pct"/>
          <w:shd w:val="clear" w:color="auto" w:fill="auto"/>
        </w:tcPr>
        <w:p w14:paraId="7B6BBBE3" w14:textId="78D10657" w:rsidR="00EF3404" w:rsidRPr="003C226C" w:rsidRDefault="004D5CA0" w:rsidP="00EF3404">
          <w:pPr>
            <w:jc w:val="center"/>
            <w:rPr>
              <w:rFonts w:ascii="Times New Roman" w:hAnsi="Times New Roman"/>
              <w:sz w:val="26"/>
              <w:szCs w:val="26"/>
            </w:rPr>
          </w:pPr>
          <w:r>
            <w:rPr>
              <w:noProof/>
            </w:rPr>
            <w:drawing>
              <wp:inline distT="0" distB="0" distL="0" distR="0" wp14:anchorId="1B027DDD" wp14:editId="07E4D237">
                <wp:extent cx="2276475" cy="1139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275" cy="1153492"/>
                        </a:xfrm>
                        <a:prstGeom prst="rect">
                          <a:avLst/>
                        </a:prstGeom>
                        <a:noFill/>
                        <a:ln>
                          <a:noFill/>
                        </a:ln>
                      </pic:spPr>
                    </pic:pic>
                  </a:graphicData>
                </a:graphic>
              </wp:inline>
            </w:drawing>
          </w:r>
        </w:p>
      </w:tc>
      <w:tc>
        <w:tcPr>
          <w:tcW w:w="1137" w:type="pct"/>
          <w:shd w:val="clear" w:color="auto" w:fill="auto"/>
          <w:vAlign w:val="bottom"/>
        </w:tcPr>
        <w:p w14:paraId="6F13F576" w14:textId="77777777" w:rsidR="00EF3404" w:rsidRPr="00B92B55" w:rsidRDefault="00EF3404" w:rsidP="00B92B55">
          <w:pPr>
            <w:spacing w:after="0" w:line="240" w:lineRule="auto"/>
            <w:jc w:val="right"/>
            <w:rPr>
              <w:rFonts w:ascii="Times New Roman" w:hAnsi="Times New Roman"/>
              <w:sz w:val="18"/>
              <w:szCs w:val="18"/>
            </w:rPr>
          </w:pPr>
        </w:p>
        <w:p w14:paraId="6BBCB5C3" w14:textId="77777777" w:rsidR="00EF3404" w:rsidRPr="00B92B55" w:rsidRDefault="00EF3404" w:rsidP="00B92B55">
          <w:pPr>
            <w:spacing w:after="0" w:line="240" w:lineRule="auto"/>
            <w:jc w:val="right"/>
            <w:rPr>
              <w:rFonts w:ascii="Times New Roman" w:hAnsi="Times New Roman"/>
              <w:sz w:val="18"/>
              <w:szCs w:val="18"/>
            </w:rPr>
          </w:pPr>
        </w:p>
        <w:p w14:paraId="4195EA75" w14:textId="77777777" w:rsidR="00EF3404" w:rsidRPr="00B92B55" w:rsidRDefault="00EF3404" w:rsidP="00B92B55">
          <w:pPr>
            <w:spacing w:after="0" w:line="240" w:lineRule="auto"/>
            <w:jc w:val="right"/>
            <w:rPr>
              <w:rFonts w:ascii="Times New Roman" w:hAnsi="Times New Roman"/>
              <w:sz w:val="18"/>
              <w:szCs w:val="18"/>
            </w:rPr>
          </w:pPr>
        </w:p>
        <w:p w14:paraId="2F5064A5" w14:textId="77777777" w:rsidR="00EF3404" w:rsidRPr="00B92B55" w:rsidRDefault="00EF3404" w:rsidP="00B92B55">
          <w:pPr>
            <w:spacing w:after="0" w:line="240" w:lineRule="auto"/>
            <w:jc w:val="right"/>
            <w:rPr>
              <w:rFonts w:ascii="Times New Roman" w:hAnsi="Times New Roman"/>
              <w:sz w:val="18"/>
              <w:szCs w:val="18"/>
            </w:rPr>
          </w:pPr>
        </w:p>
        <w:p w14:paraId="3A31D520" w14:textId="77777777" w:rsidR="00EF3404" w:rsidRPr="00B92B55" w:rsidRDefault="00EF3404" w:rsidP="00B92B55">
          <w:pPr>
            <w:spacing w:after="0" w:line="240" w:lineRule="auto"/>
            <w:jc w:val="right"/>
            <w:rPr>
              <w:rFonts w:ascii="Times New Roman" w:hAnsi="Times New Roman"/>
              <w:sz w:val="18"/>
              <w:szCs w:val="18"/>
            </w:rPr>
          </w:pPr>
        </w:p>
        <w:p w14:paraId="24C9F588" w14:textId="77777777" w:rsidR="00EF3404" w:rsidRPr="00B92B55" w:rsidRDefault="00EF3404" w:rsidP="00B92B55">
          <w:pPr>
            <w:spacing w:after="0" w:line="240" w:lineRule="auto"/>
            <w:jc w:val="right"/>
            <w:rPr>
              <w:rFonts w:ascii="Times New Roman" w:hAnsi="Times New Roman"/>
              <w:sz w:val="18"/>
              <w:szCs w:val="18"/>
            </w:rPr>
          </w:pPr>
        </w:p>
        <w:p w14:paraId="72DD3221" w14:textId="08C2CBBF" w:rsidR="00EF3404" w:rsidRPr="00B92B55" w:rsidRDefault="00A0323F" w:rsidP="00B92B55">
          <w:pPr>
            <w:spacing w:after="0" w:line="240" w:lineRule="auto"/>
            <w:jc w:val="right"/>
            <w:rPr>
              <w:rFonts w:ascii="Times New Roman" w:hAnsi="Times New Roman"/>
              <w:sz w:val="18"/>
              <w:szCs w:val="18"/>
            </w:rPr>
          </w:pPr>
          <w:r>
            <w:rPr>
              <w:rFonts w:ascii="Times New Roman" w:hAnsi="Times New Roman"/>
              <w:sz w:val="18"/>
              <w:szCs w:val="18"/>
            </w:rPr>
            <w:t>Raymond P. Marchiori</w:t>
          </w:r>
        </w:p>
        <w:p w14:paraId="2AD90005" w14:textId="0E8399BA" w:rsidR="00EF3404" w:rsidRDefault="00E81DEB" w:rsidP="00E81DEB">
          <w:pPr>
            <w:spacing w:after="0" w:line="240" w:lineRule="auto"/>
            <w:jc w:val="center"/>
            <w:rPr>
              <w:rFonts w:ascii="Times New Roman" w:hAnsi="Times New Roman"/>
              <w:i/>
              <w:sz w:val="18"/>
              <w:szCs w:val="18"/>
            </w:rPr>
          </w:pPr>
          <w:r>
            <w:rPr>
              <w:rFonts w:ascii="Times New Roman" w:hAnsi="Times New Roman"/>
              <w:i/>
              <w:sz w:val="18"/>
              <w:szCs w:val="18"/>
            </w:rPr>
            <w:t xml:space="preserve">             </w:t>
          </w:r>
          <w:r w:rsidR="00EF3404" w:rsidRPr="00B92B55">
            <w:rPr>
              <w:rFonts w:ascii="Times New Roman" w:hAnsi="Times New Roman"/>
              <w:i/>
              <w:sz w:val="18"/>
              <w:szCs w:val="18"/>
            </w:rPr>
            <w:t>Director</w:t>
          </w:r>
        </w:p>
        <w:p w14:paraId="61E2862C" w14:textId="77777777" w:rsidR="00EF3404" w:rsidRPr="00EF3404" w:rsidRDefault="00EF3404" w:rsidP="00B92B55">
          <w:pPr>
            <w:spacing w:after="0" w:line="240" w:lineRule="auto"/>
            <w:jc w:val="right"/>
            <w:rPr>
              <w:i/>
              <w:sz w:val="16"/>
              <w:szCs w:val="16"/>
            </w:rPr>
          </w:pPr>
        </w:p>
      </w:tc>
    </w:tr>
  </w:tbl>
  <w:p w14:paraId="6904AE35" w14:textId="639F2F6A" w:rsidR="00EF3404" w:rsidRDefault="00EF3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1426"/>
    <w:multiLevelType w:val="hybridMultilevel"/>
    <w:tmpl w:val="650E32E2"/>
    <w:lvl w:ilvl="0" w:tplc="8D068BE6">
      <w:start w:val="1"/>
      <w:numFmt w:val="decimal"/>
      <w:lvlText w:val="(%1)"/>
      <w:lvlJc w:val="left"/>
      <w:pPr>
        <w:tabs>
          <w:tab w:val="num" w:pos="390"/>
        </w:tabs>
        <w:ind w:left="390" w:hanging="39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31471CB"/>
    <w:multiLevelType w:val="hybridMultilevel"/>
    <w:tmpl w:val="8280E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662059">
    <w:abstractNumId w:val="1"/>
  </w:num>
  <w:num w:numId="2" w16cid:durableId="15934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14"/>
    <w:rsid w:val="00007628"/>
    <w:rsid w:val="0008636A"/>
    <w:rsid w:val="000B7D50"/>
    <w:rsid w:val="000D6471"/>
    <w:rsid w:val="000E575F"/>
    <w:rsid w:val="00187623"/>
    <w:rsid w:val="001C43A6"/>
    <w:rsid w:val="001E35A5"/>
    <w:rsid w:val="001E55A0"/>
    <w:rsid w:val="00216630"/>
    <w:rsid w:val="0025382F"/>
    <w:rsid w:val="00255E54"/>
    <w:rsid w:val="0026411E"/>
    <w:rsid w:val="00291792"/>
    <w:rsid w:val="002C3B60"/>
    <w:rsid w:val="003341D9"/>
    <w:rsid w:val="003C226C"/>
    <w:rsid w:val="00402AD0"/>
    <w:rsid w:val="0044283B"/>
    <w:rsid w:val="00454D6F"/>
    <w:rsid w:val="004D338C"/>
    <w:rsid w:val="004D5CA0"/>
    <w:rsid w:val="00533BD4"/>
    <w:rsid w:val="005C751F"/>
    <w:rsid w:val="00601CE5"/>
    <w:rsid w:val="00605618"/>
    <w:rsid w:val="00607AED"/>
    <w:rsid w:val="00612956"/>
    <w:rsid w:val="006460E6"/>
    <w:rsid w:val="006606E1"/>
    <w:rsid w:val="00667122"/>
    <w:rsid w:val="006A1C2B"/>
    <w:rsid w:val="0070056B"/>
    <w:rsid w:val="0070545E"/>
    <w:rsid w:val="007115CF"/>
    <w:rsid w:val="0071208B"/>
    <w:rsid w:val="00712781"/>
    <w:rsid w:val="007405FC"/>
    <w:rsid w:val="008148BE"/>
    <w:rsid w:val="00837470"/>
    <w:rsid w:val="00850903"/>
    <w:rsid w:val="00853C14"/>
    <w:rsid w:val="0086311E"/>
    <w:rsid w:val="00895165"/>
    <w:rsid w:val="008B6B47"/>
    <w:rsid w:val="008C435E"/>
    <w:rsid w:val="008D6807"/>
    <w:rsid w:val="0090506C"/>
    <w:rsid w:val="0092671F"/>
    <w:rsid w:val="00955E86"/>
    <w:rsid w:val="00993171"/>
    <w:rsid w:val="00A0323F"/>
    <w:rsid w:val="00A127F4"/>
    <w:rsid w:val="00AF1359"/>
    <w:rsid w:val="00B21889"/>
    <w:rsid w:val="00B33109"/>
    <w:rsid w:val="00B92B55"/>
    <w:rsid w:val="00B93FB1"/>
    <w:rsid w:val="00BA7011"/>
    <w:rsid w:val="00BC790E"/>
    <w:rsid w:val="00C47BA2"/>
    <w:rsid w:val="00C82DFA"/>
    <w:rsid w:val="00CB0678"/>
    <w:rsid w:val="00CE5F5C"/>
    <w:rsid w:val="00D92FB1"/>
    <w:rsid w:val="00DD2E97"/>
    <w:rsid w:val="00DE500B"/>
    <w:rsid w:val="00E81DEB"/>
    <w:rsid w:val="00E84CEA"/>
    <w:rsid w:val="00E87569"/>
    <w:rsid w:val="00EA7868"/>
    <w:rsid w:val="00EF3404"/>
    <w:rsid w:val="00F42EB4"/>
    <w:rsid w:val="00F71B97"/>
    <w:rsid w:val="00F77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B1F528"/>
  <w15:docId w15:val="{4C0453C4-2405-418F-A53E-5A212792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14"/>
  </w:style>
  <w:style w:type="paragraph" w:styleId="Footer">
    <w:name w:val="footer"/>
    <w:basedOn w:val="Normal"/>
    <w:link w:val="FooterChar"/>
    <w:uiPriority w:val="99"/>
    <w:unhideWhenUsed/>
    <w:rsid w:val="0085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14"/>
  </w:style>
  <w:style w:type="paragraph" w:styleId="BalloonText">
    <w:name w:val="Balloon Text"/>
    <w:basedOn w:val="Normal"/>
    <w:link w:val="BalloonTextChar"/>
    <w:uiPriority w:val="99"/>
    <w:semiHidden/>
    <w:unhideWhenUsed/>
    <w:rsid w:val="00853C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3C14"/>
    <w:rPr>
      <w:rFonts w:ascii="Tahoma" w:hAnsi="Tahoma" w:cs="Tahoma"/>
      <w:sz w:val="16"/>
      <w:szCs w:val="16"/>
    </w:rPr>
  </w:style>
  <w:style w:type="paragraph" w:styleId="BodyText">
    <w:name w:val="Body Text"/>
    <w:basedOn w:val="Normal"/>
    <w:link w:val="BodyTextChar"/>
    <w:uiPriority w:val="1"/>
    <w:qFormat/>
    <w:rsid w:val="0008636A"/>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863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8974-ACA5-47FC-A086-AF0E62EA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RHallor</dc:creator>
  <cp:lastModifiedBy>Lovellette, Kevin</cp:lastModifiedBy>
  <cp:revision>3</cp:revision>
  <cp:lastPrinted>2019-12-10T22:04:00Z</cp:lastPrinted>
  <dcterms:created xsi:type="dcterms:W3CDTF">2025-09-04T22:41:00Z</dcterms:created>
  <dcterms:modified xsi:type="dcterms:W3CDTF">2025-09-04T23:13:00Z</dcterms:modified>
</cp:coreProperties>
</file>