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7B2AB" w14:textId="74DFEB90" w:rsidR="000E3130" w:rsidRPr="00420DE5" w:rsidRDefault="00A21324" w:rsidP="00AE6A26">
      <w:pPr>
        <w:jc w:val="center"/>
        <w:rPr>
          <w:rFonts w:ascii="Arial" w:hAnsi="Arial" w:cs="Arial"/>
          <w:b/>
        </w:rPr>
      </w:pPr>
      <w:r w:rsidRPr="00420DE5">
        <w:rPr>
          <w:rFonts w:ascii="Arial" w:hAnsi="Arial" w:cs="Arial"/>
          <w:b/>
        </w:rPr>
        <w:t xml:space="preserve">Illinois </w:t>
      </w:r>
      <w:r w:rsidR="0063715A" w:rsidRPr="00420DE5">
        <w:rPr>
          <w:rFonts w:ascii="Arial" w:hAnsi="Arial" w:cs="Arial"/>
          <w:b/>
        </w:rPr>
        <w:t>Live Theater Tax Credit</w:t>
      </w:r>
      <w:r w:rsidRPr="00420DE5">
        <w:rPr>
          <w:rFonts w:ascii="Arial" w:hAnsi="Arial" w:cs="Arial"/>
          <w:b/>
        </w:rPr>
        <w:t xml:space="preserve"> </w:t>
      </w:r>
      <w:r w:rsidR="008E30DE" w:rsidRPr="00420DE5">
        <w:rPr>
          <w:rFonts w:ascii="Arial" w:hAnsi="Arial" w:cs="Arial"/>
          <w:b/>
        </w:rPr>
        <w:t>Annual</w:t>
      </w:r>
      <w:r w:rsidRPr="00420DE5">
        <w:rPr>
          <w:rFonts w:ascii="Arial" w:hAnsi="Arial" w:cs="Arial"/>
          <w:b/>
        </w:rPr>
        <w:t xml:space="preserve"> Report</w:t>
      </w:r>
    </w:p>
    <w:p w14:paraId="20DE44EE" w14:textId="7FD5AF94" w:rsidR="00125EED" w:rsidRPr="00420DE5" w:rsidRDefault="00125EED" w:rsidP="00125EED">
      <w:pPr>
        <w:tabs>
          <w:tab w:val="left" w:pos="5115"/>
        </w:tabs>
        <w:jc w:val="center"/>
        <w:rPr>
          <w:rFonts w:ascii="Arial" w:hAnsi="Arial" w:cs="Arial"/>
          <w:b/>
          <w:u w:val="single"/>
        </w:rPr>
      </w:pPr>
      <w:r w:rsidRPr="00420DE5">
        <w:rPr>
          <w:rFonts w:ascii="Arial" w:hAnsi="Arial" w:cs="Arial"/>
          <w:b/>
          <w:u w:val="single"/>
        </w:rPr>
        <w:t>FY</w:t>
      </w:r>
      <w:r w:rsidR="007866BA" w:rsidRPr="00420DE5">
        <w:rPr>
          <w:rFonts w:ascii="Arial" w:hAnsi="Arial" w:cs="Arial"/>
          <w:b/>
          <w:u w:val="single"/>
        </w:rPr>
        <w:t>2</w:t>
      </w:r>
      <w:r w:rsidR="008E30DE" w:rsidRPr="00420DE5">
        <w:rPr>
          <w:rFonts w:ascii="Arial" w:hAnsi="Arial" w:cs="Arial"/>
          <w:b/>
          <w:u w:val="single"/>
        </w:rPr>
        <w:t>02</w:t>
      </w:r>
      <w:r w:rsidR="00DD60FF" w:rsidRPr="00420DE5">
        <w:rPr>
          <w:rFonts w:ascii="Arial" w:hAnsi="Arial" w:cs="Arial"/>
          <w:b/>
          <w:u w:val="single"/>
        </w:rPr>
        <w:t>3</w:t>
      </w:r>
      <w:r w:rsidR="008E30DE" w:rsidRPr="00420DE5">
        <w:rPr>
          <w:rFonts w:ascii="Arial" w:hAnsi="Arial" w:cs="Arial"/>
          <w:b/>
          <w:u w:val="single"/>
        </w:rPr>
        <w:t>: July 1</w:t>
      </w:r>
      <w:r w:rsidR="00A44485" w:rsidRPr="00420DE5">
        <w:rPr>
          <w:rFonts w:ascii="Arial" w:hAnsi="Arial" w:cs="Arial"/>
          <w:b/>
          <w:u w:val="single"/>
        </w:rPr>
        <w:t>, 202</w:t>
      </w:r>
      <w:r w:rsidR="00DD60FF" w:rsidRPr="00420DE5">
        <w:rPr>
          <w:rFonts w:ascii="Arial" w:hAnsi="Arial" w:cs="Arial"/>
          <w:b/>
          <w:u w:val="single"/>
        </w:rPr>
        <w:t>2</w:t>
      </w:r>
      <w:r w:rsidR="00891425" w:rsidRPr="00420DE5">
        <w:rPr>
          <w:rFonts w:ascii="Arial" w:hAnsi="Arial" w:cs="Arial"/>
          <w:b/>
          <w:u w:val="single"/>
        </w:rPr>
        <w:t xml:space="preserve"> – </w:t>
      </w:r>
      <w:r w:rsidR="008E30DE" w:rsidRPr="00420DE5">
        <w:rPr>
          <w:rFonts w:ascii="Arial" w:hAnsi="Arial" w:cs="Arial"/>
          <w:b/>
          <w:u w:val="single"/>
        </w:rPr>
        <w:t>June 30</w:t>
      </w:r>
      <w:r w:rsidR="00A44485" w:rsidRPr="00420DE5">
        <w:rPr>
          <w:rFonts w:ascii="Arial" w:hAnsi="Arial" w:cs="Arial"/>
          <w:b/>
          <w:u w:val="single"/>
        </w:rPr>
        <w:t>, 202</w:t>
      </w:r>
      <w:r w:rsidR="00DD60FF" w:rsidRPr="00420DE5">
        <w:rPr>
          <w:rFonts w:ascii="Arial" w:hAnsi="Arial" w:cs="Arial"/>
          <w:b/>
          <w:u w:val="single"/>
        </w:rPr>
        <w:t>3</w:t>
      </w:r>
    </w:p>
    <w:p w14:paraId="0A072D37" w14:textId="77777777" w:rsidR="0038197C" w:rsidRDefault="0038197C" w:rsidP="0038197C">
      <w:pPr>
        <w:jc w:val="both"/>
        <w:rPr>
          <w:rFonts w:ascii="Cambria" w:hAnsi="Cambria"/>
        </w:rPr>
      </w:pPr>
    </w:p>
    <w:p w14:paraId="505E46C9" w14:textId="53DBFAC8" w:rsidR="0038197C" w:rsidRPr="00420DE5" w:rsidRDefault="0038197C" w:rsidP="0038197C">
      <w:pPr>
        <w:jc w:val="both"/>
        <w:rPr>
          <w:rFonts w:ascii="Arial" w:hAnsi="Arial" w:cs="Arial"/>
        </w:rPr>
      </w:pPr>
      <w:r w:rsidRPr="00420DE5">
        <w:rPr>
          <w:rFonts w:ascii="Arial" w:hAnsi="Arial" w:cs="Arial"/>
        </w:rPr>
        <w:t>When a</w:t>
      </w:r>
      <w:r w:rsidR="00420DE5" w:rsidRPr="00420DE5">
        <w:rPr>
          <w:rFonts w:ascii="Arial" w:hAnsi="Arial" w:cs="Arial"/>
        </w:rPr>
        <w:t>n accredited theater</w:t>
      </w:r>
      <w:r w:rsidRPr="00420DE5">
        <w:rPr>
          <w:rFonts w:ascii="Arial" w:hAnsi="Arial" w:cs="Arial"/>
        </w:rPr>
        <w:t xml:space="preserve"> production company is ready to claim a </w:t>
      </w:r>
      <w:proofErr w:type="gramStart"/>
      <w:r w:rsidRPr="00420DE5">
        <w:rPr>
          <w:rFonts w:ascii="Arial" w:hAnsi="Arial" w:cs="Arial"/>
        </w:rPr>
        <w:t>credit</w:t>
      </w:r>
      <w:proofErr w:type="gramEnd"/>
      <w:r w:rsidRPr="00420DE5">
        <w:rPr>
          <w:rFonts w:ascii="Arial" w:hAnsi="Arial" w:cs="Arial"/>
        </w:rPr>
        <w:t xml:space="preserve"> it submits a report that includes exact numbers of people hired, money spent and vendors used. However, the Live Theater Tax Credit allows companies up to 60 days to claim a tax credit, at which point, claimants report actual expenditures. </w:t>
      </w:r>
    </w:p>
    <w:p w14:paraId="4BCE6283" w14:textId="77777777" w:rsidR="0038197C" w:rsidRPr="00420DE5" w:rsidRDefault="0038197C" w:rsidP="0038197C">
      <w:pPr>
        <w:jc w:val="both"/>
        <w:rPr>
          <w:rFonts w:ascii="Arial" w:hAnsi="Arial" w:cs="Arial"/>
        </w:rPr>
      </w:pPr>
    </w:p>
    <w:p w14:paraId="47A61F18" w14:textId="77777777" w:rsidR="0038197C" w:rsidRPr="00420DE5" w:rsidRDefault="0038197C" w:rsidP="0038197C">
      <w:pPr>
        <w:jc w:val="both"/>
        <w:rPr>
          <w:rFonts w:ascii="Arial" w:hAnsi="Arial" w:cs="Arial"/>
        </w:rPr>
      </w:pPr>
      <w:r w:rsidRPr="00420DE5">
        <w:rPr>
          <w:rFonts w:ascii="Arial" w:hAnsi="Arial" w:cs="Arial"/>
        </w:rPr>
        <w:t xml:space="preserve">Beginning in FY2015 Q1, reporting methodology was changed from using spending estimates provided upon application to actual expenditures reported when the credit is claimed.  However, we continue to report estimates for performance metrics.  Estimates, while less precise, are timelier.  Furthermore, projects awarded tax credits during this period may have been previously counted using the prior methodology.  </w:t>
      </w:r>
    </w:p>
    <w:p w14:paraId="2B42F0B4" w14:textId="77777777" w:rsidR="00A845E2" w:rsidRPr="00420DE5" w:rsidRDefault="00A845E2" w:rsidP="0038197C">
      <w:pPr>
        <w:jc w:val="both"/>
        <w:rPr>
          <w:rFonts w:ascii="Arial" w:hAnsi="Arial" w:cs="Arial"/>
        </w:rPr>
      </w:pPr>
    </w:p>
    <w:p w14:paraId="6626D0BB" w14:textId="3693764A" w:rsidR="00753A3B" w:rsidRPr="00420DE5" w:rsidRDefault="00753A3B" w:rsidP="00753A3B">
      <w:pPr>
        <w:jc w:val="both"/>
        <w:rPr>
          <w:rFonts w:ascii="Arial" w:hAnsi="Arial" w:cs="Arial"/>
        </w:rPr>
      </w:pPr>
    </w:p>
    <w:p w14:paraId="522DB326" w14:textId="57A06853" w:rsidR="00753A3B" w:rsidRPr="00420DE5" w:rsidRDefault="00753A3B" w:rsidP="00753A3B">
      <w:pPr>
        <w:jc w:val="both"/>
        <w:rPr>
          <w:rFonts w:ascii="Arial" w:hAnsi="Arial" w:cs="Arial"/>
        </w:rPr>
      </w:pPr>
      <w:r w:rsidRPr="00420DE5">
        <w:rPr>
          <w:rFonts w:ascii="Arial" w:hAnsi="Arial" w:cs="Arial"/>
        </w:rPr>
        <w:t>Listing of Vendors:</w:t>
      </w:r>
      <w:r w:rsidR="00420DE5" w:rsidRPr="00420DE5">
        <w:rPr>
          <w:rFonts w:ascii="Arial" w:hAnsi="Arial" w:cs="Arial"/>
        </w:rPr>
        <w:t xml:space="preserve"> </w:t>
      </w:r>
    </w:p>
    <w:p w14:paraId="3FCF24F3" w14:textId="08C94E3B" w:rsidR="00420DE5" w:rsidRPr="00420DE5" w:rsidRDefault="00420DE5" w:rsidP="00753A3B">
      <w:pPr>
        <w:jc w:val="both"/>
        <w:rPr>
          <w:rFonts w:ascii="Arial" w:hAnsi="Arial" w:cs="Arial"/>
        </w:rPr>
      </w:pPr>
    </w:p>
    <w:p w14:paraId="2DCAD9A5" w14:textId="1AD54F2C" w:rsidR="00420DE5" w:rsidRPr="00420DE5" w:rsidRDefault="00420DE5" w:rsidP="00753A3B">
      <w:pPr>
        <w:jc w:val="both"/>
        <w:rPr>
          <w:rFonts w:ascii="Arial" w:hAnsi="Arial" w:cs="Arial"/>
        </w:rPr>
      </w:pPr>
      <w:r w:rsidRPr="00420DE5">
        <w:rPr>
          <w:rFonts w:ascii="Arial" w:hAnsi="Arial" w:cs="Arial"/>
        </w:rPr>
        <w:t>See APPENDIX 1</w:t>
      </w:r>
    </w:p>
    <w:p w14:paraId="044B0CDA" w14:textId="4E38ADB5" w:rsidR="00420DE5" w:rsidRPr="00420DE5" w:rsidRDefault="00420DE5" w:rsidP="00753A3B">
      <w:pPr>
        <w:jc w:val="both"/>
        <w:rPr>
          <w:rFonts w:ascii="Arial" w:hAnsi="Arial" w:cs="Arial"/>
        </w:rPr>
      </w:pPr>
    </w:p>
    <w:p w14:paraId="6F6CE087" w14:textId="178BB911" w:rsidR="00420DE5" w:rsidRPr="00420DE5" w:rsidRDefault="00420DE5" w:rsidP="00753A3B">
      <w:pPr>
        <w:jc w:val="both"/>
        <w:rPr>
          <w:rFonts w:ascii="Arial" w:hAnsi="Arial" w:cs="Arial"/>
        </w:rPr>
      </w:pPr>
    </w:p>
    <w:p w14:paraId="64FCAD45" w14:textId="100746D1" w:rsidR="00420DE5" w:rsidRDefault="00420DE5" w:rsidP="00753A3B">
      <w:pPr>
        <w:jc w:val="both"/>
        <w:rPr>
          <w:rFonts w:ascii="Arial" w:hAnsi="Arial" w:cs="Arial"/>
        </w:rPr>
      </w:pPr>
      <w:r w:rsidRPr="00420DE5">
        <w:rPr>
          <w:rFonts w:ascii="Arial" w:hAnsi="Arial" w:cs="Arial"/>
        </w:rPr>
        <w:t xml:space="preserve">Vendors that provided goods or services that were included in an accredited theater production’s Illinois production spending and identify as </w:t>
      </w:r>
      <w:r w:rsidRPr="00420DE5">
        <w:rPr>
          <w:rFonts w:ascii="Arial" w:hAnsi="Arial" w:cs="Arial"/>
        </w:rPr>
        <w:t>a minority-owned or women-owned business as defined in Section 2 of the Business Enterprise for Minorities, Women, and Persons with Disabilities Act</w:t>
      </w:r>
      <w:r w:rsidRPr="00420DE5">
        <w:rPr>
          <w:rFonts w:ascii="Arial" w:hAnsi="Arial" w:cs="Arial"/>
        </w:rPr>
        <w:t>:</w:t>
      </w:r>
    </w:p>
    <w:p w14:paraId="023484B7" w14:textId="33D40A37" w:rsidR="00DD5949" w:rsidRDefault="00DD5949" w:rsidP="00753A3B">
      <w:pPr>
        <w:jc w:val="both"/>
        <w:rPr>
          <w:rFonts w:ascii="Arial" w:hAnsi="Arial" w:cs="Arial"/>
        </w:rPr>
      </w:pPr>
    </w:p>
    <w:p w14:paraId="6898C07D" w14:textId="6B5F969A" w:rsidR="00DD5949" w:rsidRPr="00420DE5" w:rsidRDefault="00DD5949" w:rsidP="00753A3B">
      <w:pPr>
        <w:jc w:val="both"/>
        <w:rPr>
          <w:rFonts w:ascii="Arial" w:hAnsi="Arial" w:cs="Arial"/>
        </w:rPr>
      </w:pPr>
      <w:r w:rsidRPr="00DD5949">
        <w:drawing>
          <wp:inline distT="0" distB="0" distL="0" distR="0" wp14:anchorId="395D6A76" wp14:editId="5577AE1E">
            <wp:extent cx="4529455" cy="1210945"/>
            <wp:effectExtent l="0" t="0" r="444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9455" cy="1210945"/>
                    </a:xfrm>
                    <a:prstGeom prst="rect">
                      <a:avLst/>
                    </a:prstGeom>
                    <a:noFill/>
                    <a:ln>
                      <a:noFill/>
                    </a:ln>
                  </pic:spPr>
                </pic:pic>
              </a:graphicData>
            </a:graphic>
          </wp:inline>
        </w:drawing>
      </w:r>
    </w:p>
    <w:p w14:paraId="3704307D" w14:textId="36C4F7EA" w:rsidR="00420DE5" w:rsidRPr="00420DE5" w:rsidRDefault="00420DE5" w:rsidP="00753A3B">
      <w:pPr>
        <w:jc w:val="both"/>
        <w:rPr>
          <w:rFonts w:ascii="Arial" w:hAnsi="Arial" w:cs="Arial"/>
        </w:rPr>
      </w:pPr>
    </w:p>
    <w:p w14:paraId="58A529A1" w14:textId="6CA437A6" w:rsidR="00753A3B" w:rsidRPr="00420DE5" w:rsidRDefault="00753A3B" w:rsidP="00753A3B">
      <w:pPr>
        <w:jc w:val="both"/>
        <w:rPr>
          <w:rFonts w:ascii="Arial" w:hAnsi="Arial" w:cs="Arial"/>
        </w:rPr>
      </w:pPr>
    </w:p>
    <w:p w14:paraId="2822C501" w14:textId="7589BB7C" w:rsidR="00125EED" w:rsidRPr="00420DE5" w:rsidRDefault="00420DE5" w:rsidP="0038197C">
      <w:pPr>
        <w:jc w:val="both"/>
        <w:rPr>
          <w:rFonts w:ascii="Arial" w:hAnsi="Arial" w:cs="Arial"/>
        </w:rPr>
      </w:pPr>
      <w:r w:rsidRPr="00420DE5">
        <w:rPr>
          <w:rFonts w:ascii="Arial" w:hAnsi="Arial" w:cs="Arial"/>
        </w:rPr>
        <w:t>The department encourages</w:t>
      </w:r>
      <w:r>
        <w:rPr>
          <w:rFonts w:ascii="Arial" w:hAnsi="Arial" w:cs="Arial"/>
        </w:rPr>
        <w:t xml:space="preserve"> accredited theater productions to uses vendors that are </w:t>
      </w:r>
      <w:r w:rsidRPr="00420DE5">
        <w:rPr>
          <w:rFonts w:ascii="Arial" w:hAnsi="Arial" w:cs="Arial"/>
        </w:rPr>
        <w:t>minority-</w:t>
      </w:r>
      <w:proofErr w:type="gramStart"/>
      <w:r w:rsidRPr="00420DE5">
        <w:rPr>
          <w:rFonts w:ascii="Arial" w:hAnsi="Arial" w:cs="Arial"/>
        </w:rPr>
        <w:t>owned</w:t>
      </w:r>
      <w:proofErr w:type="gramEnd"/>
      <w:r w:rsidRPr="00420DE5">
        <w:rPr>
          <w:rFonts w:ascii="Arial" w:hAnsi="Arial" w:cs="Arial"/>
        </w:rPr>
        <w:t xml:space="preserve"> or women-owned business</w:t>
      </w:r>
      <w:r>
        <w:rPr>
          <w:rFonts w:ascii="Arial" w:hAnsi="Arial" w:cs="Arial"/>
        </w:rPr>
        <w:t>es</w:t>
      </w:r>
      <w:r w:rsidRPr="00420DE5">
        <w:rPr>
          <w:rFonts w:ascii="Arial" w:hAnsi="Arial" w:cs="Arial"/>
        </w:rPr>
        <w:t xml:space="preserve"> as defined in Section 2 of the Business Enterprise for Minorities, Women, and Persons with Disabilities Act</w:t>
      </w:r>
      <w:r>
        <w:rPr>
          <w:rFonts w:ascii="Arial" w:hAnsi="Arial" w:cs="Arial"/>
        </w:rPr>
        <w:t>.</w:t>
      </w:r>
    </w:p>
    <w:sectPr w:rsidR="00125EED" w:rsidRPr="00420DE5" w:rsidSect="009E4F05">
      <w:footerReference w:type="default" r:id="rId8"/>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D495B" w14:textId="77777777" w:rsidR="00575BC4" w:rsidRDefault="00575BC4" w:rsidP="00575BC4">
      <w:r>
        <w:separator/>
      </w:r>
    </w:p>
  </w:endnote>
  <w:endnote w:type="continuationSeparator" w:id="0">
    <w:p w14:paraId="1EFDF6FD" w14:textId="77777777" w:rsidR="00575BC4" w:rsidRDefault="00575BC4" w:rsidP="00575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976727339"/>
      <w:docPartObj>
        <w:docPartGallery w:val="Page Numbers (Bottom of Page)"/>
        <w:docPartUnique/>
      </w:docPartObj>
    </w:sdtPr>
    <w:sdtEndPr>
      <w:rPr>
        <w:noProof/>
      </w:rPr>
    </w:sdtEndPr>
    <w:sdtContent>
      <w:p w14:paraId="5E4F50F2" w14:textId="77777777" w:rsidR="00575BC4" w:rsidRPr="00420DE5" w:rsidRDefault="00575BC4">
        <w:pPr>
          <w:pStyle w:val="Footer"/>
          <w:jc w:val="right"/>
          <w:rPr>
            <w:rFonts w:ascii="Arial" w:hAnsi="Arial" w:cs="Arial"/>
          </w:rPr>
        </w:pPr>
        <w:r w:rsidRPr="00420DE5">
          <w:rPr>
            <w:rFonts w:ascii="Arial" w:hAnsi="Arial" w:cs="Arial"/>
          </w:rPr>
          <w:fldChar w:fldCharType="begin"/>
        </w:r>
        <w:r w:rsidRPr="00420DE5">
          <w:rPr>
            <w:rFonts w:ascii="Arial" w:hAnsi="Arial" w:cs="Arial"/>
          </w:rPr>
          <w:instrText xml:space="preserve"> PAGE   \* MERGEFORMAT </w:instrText>
        </w:r>
        <w:r w:rsidRPr="00420DE5">
          <w:rPr>
            <w:rFonts w:ascii="Arial" w:hAnsi="Arial" w:cs="Arial"/>
          </w:rPr>
          <w:fldChar w:fldCharType="separate"/>
        </w:r>
        <w:r w:rsidR="00F425D7" w:rsidRPr="00420DE5">
          <w:rPr>
            <w:rFonts w:ascii="Arial" w:hAnsi="Arial" w:cs="Arial"/>
            <w:noProof/>
          </w:rPr>
          <w:t>1</w:t>
        </w:r>
        <w:r w:rsidRPr="00420DE5">
          <w:rPr>
            <w:rFonts w:ascii="Arial" w:hAnsi="Arial" w:cs="Arial"/>
            <w:noProof/>
          </w:rPr>
          <w:fldChar w:fldCharType="end"/>
        </w:r>
      </w:p>
    </w:sdtContent>
  </w:sdt>
  <w:p w14:paraId="23E137CC" w14:textId="2DA5854A" w:rsidR="00575BC4" w:rsidRPr="00420DE5" w:rsidRDefault="00575BC4">
    <w:pPr>
      <w:pStyle w:val="Footer"/>
      <w:rPr>
        <w:rFonts w:ascii="Arial" w:hAnsi="Arial" w:cs="Arial"/>
      </w:rPr>
    </w:pPr>
    <w:r w:rsidRPr="00420DE5">
      <w:rPr>
        <w:rFonts w:ascii="Arial" w:hAnsi="Arial" w:cs="Arial"/>
      </w:rPr>
      <w:t>Live Theatre Tax Credit Program – Statutory Report FY</w:t>
    </w:r>
    <w:r w:rsidR="00AC4B41" w:rsidRPr="00420DE5">
      <w:rPr>
        <w:rFonts w:ascii="Arial" w:hAnsi="Arial" w:cs="Arial"/>
      </w:rPr>
      <w:t>2</w:t>
    </w:r>
    <w:r w:rsidR="00420DE5" w:rsidRPr="00420DE5">
      <w:rPr>
        <w:rFonts w:ascii="Arial" w:hAnsi="Arial" w:cs="Arial"/>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C7434" w14:textId="77777777" w:rsidR="00575BC4" w:rsidRDefault="00575BC4" w:rsidP="00575BC4">
      <w:r>
        <w:separator/>
      </w:r>
    </w:p>
  </w:footnote>
  <w:footnote w:type="continuationSeparator" w:id="0">
    <w:p w14:paraId="741FDF03" w14:textId="77777777" w:rsidR="00575BC4" w:rsidRDefault="00575BC4" w:rsidP="00575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0D2C"/>
    <w:multiLevelType w:val="hybridMultilevel"/>
    <w:tmpl w:val="016C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A7D3A"/>
    <w:multiLevelType w:val="hybridMultilevel"/>
    <w:tmpl w:val="F762E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01453"/>
    <w:multiLevelType w:val="hybridMultilevel"/>
    <w:tmpl w:val="E67E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D5DF3"/>
    <w:multiLevelType w:val="hybridMultilevel"/>
    <w:tmpl w:val="F3A2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3C0475"/>
    <w:multiLevelType w:val="hybridMultilevel"/>
    <w:tmpl w:val="9A147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4193953">
    <w:abstractNumId w:val="4"/>
  </w:num>
  <w:num w:numId="2" w16cid:durableId="723065985">
    <w:abstractNumId w:val="2"/>
  </w:num>
  <w:num w:numId="3" w16cid:durableId="1794909736">
    <w:abstractNumId w:val="0"/>
  </w:num>
  <w:num w:numId="4" w16cid:durableId="1491363021">
    <w:abstractNumId w:val="1"/>
  </w:num>
  <w:num w:numId="5" w16cid:durableId="1791822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24"/>
    <w:rsid w:val="00000552"/>
    <w:rsid w:val="00002266"/>
    <w:rsid w:val="000E3130"/>
    <w:rsid w:val="000F5A52"/>
    <w:rsid w:val="000F5D0F"/>
    <w:rsid w:val="00114253"/>
    <w:rsid w:val="00125EED"/>
    <w:rsid w:val="001438B1"/>
    <w:rsid w:val="00190580"/>
    <w:rsid w:val="00192D26"/>
    <w:rsid w:val="001B2113"/>
    <w:rsid w:val="001F40E9"/>
    <w:rsid w:val="00205C47"/>
    <w:rsid w:val="002355D9"/>
    <w:rsid w:val="002636AD"/>
    <w:rsid w:val="002848F6"/>
    <w:rsid w:val="002E4D7A"/>
    <w:rsid w:val="003139CE"/>
    <w:rsid w:val="00343A83"/>
    <w:rsid w:val="0038197C"/>
    <w:rsid w:val="003950EC"/>
    <w:rsid w:val="00420DE5"/>
    <w:rsid w:val="00425C81"/>
    <w:rsid w:val="004D0397"/>
    <w:rsid w:val="00536DA0"/>
    <w:rsid w:val="00552DFF"/>
    <w:rsid w:val="00552F1C"/>
    <w:rsid w:val="00575BC4"/>
    <w:rsid w:val="005901BA"/>
    <w:rsid w:val="005C7A19"/>
    <w:rsid w:val="005D52C5"/>
    <w:rsid w:val="0062162D"/>
    <w:rsid w:val="0063715A"/>
    <w:rsid w:val="00644866"/>
    <w:rsid w:val="00683CA7"/>
    <w:rsid w:val="006D06C9"/>
    <w:rsid w:val="007353B8"/>
    <w:rsid w:val="00750B26"/>
    <w:rsid w:val="00753A3B"/>
    <w:rsid w:val="007866BA"/>
    <w:rsid w:val="00787666"/>
    <w:rsid w:val="00796940"/>
    <w:rsid w:val="007F578A"/>
    <w:rsid w:val="00830F9F"/>
    <w:rsid w:val="008832BB"/>
    <w:rsid w:val="00885598"/>
    <w:rsid w:val="00887D5C"/>
    <w:rsid w:val="00891425"/>
    <w:rsid w:val="008B5DD7"/>
    <w:rsid w:val="008E30DE"/>
    <w:rsid w:val="00955C11"/>
    <w:rsid w:val="00997BF6"/>
    <w:rsid w:val="009E4F05"/>
    <w:rsid w:val="00A0781F"/>
    <w:rsid w:val="00A21324"/>
    <w:rsid w:val="00A263D6"/>
    <w:rsid w:val="00A425A9"/>
    <w:rsid w:val="00A44485"/>
    <w:rsid w:val="00A5325B"/>
    <w:rsid w:val="00A54383"/>
    <w:rsid w:val="00A845E2"/>
    <w:rsid w:val="00AA7F1C"/>
    <w:rsid w:val="00AC4B41"/>
    <w:rsid w:val="00AE6A26"/>
    <w:rsid w:val="00B670A1"/>
    <w:rsid w:val="00B875C6"/>
    <w:rsid w:val="00B9563D"/>
    <w:rsid w:val="00BA4F32"/>
    <w:rsid w:val="00BB79B2"/>
    <w:rsid w:val="00BC13E6"/>
    <w:rsid w:val="00C178C9"/>
    <w:rsid w:val="00C34B8A"/>
    <w:rsid w:val="00C9391B"/>
    <w:rsid w:val="00CA2860"/>
    <w:rsid w:val="00CA2D69"/>
    <w:rsid w:val="00CC2A5F"/>
    <w:rsid w:val="00D301CA"/>
    <w:rsid w:val="00D50543"/>
    <w:rsid w:val="00D9004E"/>
    <w:rsid w:val="00DA0318"/>
    <w:rsid w:val="00DD5949"/>
    <w:rsid w:val="00DD60FF"/>
    <w:rsid w:val="00DE6AB9"/>
    <w:rsid w:val="00E85552"/>
    <w:rsid w:val="00EA6FD5"/>
    <w:rsid w:val="00F15E19"/>
    <w:rsid w:val="00F425D7"/>
    <w:rsid w:val="00F61576"/>
    <w:rsid w:val="00F85E79"/>
    <w:rsid w:val="00F86897"/>
    <w:rsid w:val="00FE4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640BB6"/>
  <w15:docId w15:val="{98FFE255-7D63-4908-BAEF-43CE8C07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1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C81"/>
    <w:pPr>
      <w:ind w:left="720"/>
      <w:contextualSpacing/>
    </w:pPr>
  </w:style>
  <w:style w:type="paragraph" w:styleId="BalloonText">
    <w:name w:val="Balloon Text"/>
    <w:basedOn w:val="Normal"/>
    <w:link w:val="BalloonTextChar"/>
    <w:rsid w:val="00F85E79"/>
    <w:rPr>
      <w:rFonts w:ascii="Tahoma" w:hAnsi="Tahoma" w:cs="Tahoma"/>
      <w:sz w:val="16"/>
      <w:szCs w:val="16"/>
    </w:rPr>
  </w:style>
  <w:style w:type="character" w:customStyle="1" w:styleId="BalloonTextChar">
    <w:name w:val="Balloon Text Char"/>
    <w:basedOn w:val="DefaultParagraphFont"/>
    <w:link w:val="BalloonText"/>
    <w:rsid w:val="00F85E79"/>
    <w:rPr>
      <w:rFonts w:ascii="Tahoma" w:hAnsi="Tahoma" w:cs="Tahoma"/>
      <w:sz w:val="16"/>
      <w:szCs w:val="16"/>
    </w:rPr>
  </w:style>
  <w:style w:type="paragraph" w:styleId="Header">
    <w:name w:val="header"/>
    <w:basedOn w:val="Normal"/>
    <w:link w:val="HeaderChar"/>
    <w:rsid w:val="00575BC4"/>
    <w:pPr>
      <w:tabs>
        <w:tab w:val="center" w:pos="4680"/>
        <w:tab w:val="right" w:pos="9360"/>
      </w:tabs>
    </w:pPr>
  </w:style>
  <w:style w:type="character" w:customStyle="1" w:styleId="HeaderChar">
    <w:name w:val="Header Char"/>
    <w:basedOn w:val="DefaultParagraphFont"/>
    <w:link w:val="Header"/>
    <w:rsid w:val="00575BC4"/>
    <w:rPr>
      <w:sz w:val="24"/>
      <w:szCs w:val="24"/>
    </w:rPr>
  </w:style>
  <w:style w:type="paragraph" w:styleId="Footer">
    <w:name w:val="footer"/>
    <w:basedOn w:val="Normal"/>
    <w:link w:val="FooterChar"/>
    <w:uiPriority w:val="99"/>
    <w:rsid w:val="00575BC4"/>
    <w:pPr>
      <w:tabs>
        <w:tab w:val="center" w:pos="4680"/>
        <w:tab w:val="right" w:pos="9360"/>
      </w:tabs>
    </w:pPr>
  </w:style>
  <w:style w:type="character" w:customStyle="1" w:styleId="FooterChar">
    <w:name w:val="Footer Char"/>
    <w:basedOn w:val="DefaultParagraphFont"/>
    <w:link w:val="Footer"/>
    <w:uiPriority w:val="99"/>
    <w:rsid w:val="00575B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202</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DCEO</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bsteinberg</dc:creator>
  <cp:lastModifiedBy>Lopez, Cesar</cp:lastModifiedBy>
  <cp:revision>4</cp:revision>
  <cp:lastPrinted>2015-02-10T23:13:00Z</cp:lastPrinted>
  <dcterms:created xsi:type="dcterms:W3CDTF">2024-02-02T19:51:00Z</dcterms:created>
  <dcterms:modified xsi:type="dcterms:W3CDTF">2024-02-06T23:43:00Z</dcterms:modified>
</cp:coreProperties>
</file>