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0D047" w14:textId="567C087D" w:rsidR="00526963" w:rsidRPr="00126FF6" w:rsidRDefault="00526963" w:rsidP="00526963">
      <w:pPr>
        <w:rPr>
          <w:rFonts w:asciiTheme="majorHAnsi" w:hAnsiTheme="majorHAnsi"/>
          <w:sz w:val="24"/>
          <w:szCs w:val="24"/>
        </w:rPr>
      </w:pPr>
      <w:bookmarkStart w:id="0" w:name="_Hlk27730808"/>
      <w:r w:rsidRPr="00126FF6">
        <w:rPr>
          <w:rFonts w:asciiTheme="majorHAnsi" w:hAnsiTheme="majorHAnsi"/>
          <w:b/>
          <w:sz w:val="24"/>
          <w:szCs w:val="24"/>
        </w:rPr>
        <w:t>DATE:</w:t>
      </w:r>
      <w:r w:rsidRPr="00126FF6">
        <w:rPr>
          <w:rFonts w:asciiTheme="majorHAnsi" w:hAnsiTheme="majorHAnsi"/>
          <w:b/>
          <w:sz w:val="24"/>
          <w:szCs w:val="24"/>
        </w:rPr>
        <w:tab/>
      </w:r>
      <w:r w:rsidRPr="00126FF6">
        <w:rPr>
          <w:rFonts w:asciiTheme="majorHAnsi" w:hAnsiTheme="majorHAnsi"/>
          <w:sz w:val="24"/>
          <w:szCs w:val="24"/>
        </w:rPr>
        <w:tab/>
      </w:r>
      <w:r w:rsidR="0040648E">
        <w:rPr>
          <w:rFonts w:asciiTheme="majorHAnsi" w:hAnsiTheme="majorHAnsi"/>
          <w:sz w:val="24"/>
          <w:szCs w:val="24"/>
        </w:rPr>
        <w:t xml:space="preserve">October </w:t>
      </w:r>
      <w:r w:rsidR="00CE0A28">
        <w:rPr>
          <w:rFonts w:asciiTheme="majorHAnsi" w:hAnsiTheme="majorHAnsi"/>
          <w:sz w:val="24"/>
          <w:szCs w:val="24"/>
        </w:rPr>
        <w:t>21</w:t>
      </w:r>
      <w:r w:rsidR="0040648E">
        <w:rPr>
          <w:rFonts w:asciiTheme="majorHAnsi" w:hAnsiTheme="majorHAnsi"/>
          <w:sz w:val="24"/>
          <w:szCs w:val="24"/>
        </w:rPr>
        <w:t>, 2022</w:t>
      </w:r>
    </w:p>
    <w:p w14:paraId="4432F714" w14:textId="77777777" w:rsidR="00526963" w:rsidRPr="00126FF6" w:rsidRDefault="00526963" w:rsidP="00526963">
      <w:pPr>
        <w:rPr>
          <w:rFonts w:asciiTheme="majorHAnsi" w:hAnsiTheme="majorHAnsi"/>
          <w:sz w:val="24"/>
          <w:szCs w:val="24"/>
        </w:rPr>
      </w:pPr>
    </w:p>
    <w:p w14:paraId="42A163E3" w14:textId="7B271021" w:rsidR="004A5CAF" w:rsidRPr="00126FF6" w:rsidRDefault="00526963" w:rsidP="00A81017">
      <w:pPr>
        <w:rPr>
          <w:rFonts w:asciiTheme="majorHAnsi" w:hAnsiTheme="majorHAnsi"/>
          <w:sz w:val="24"/>
          <w:szCs w:val="24"/>
        </w:rPr>
      </w:pPr>
      <w:r w:rsidRPr="00126FF6">
        <w:rPr>
          <w:rFonts w:asciiTheme="majorHAnsi" w:hAnsiTheme="majorHAnsi"/>
          <w:b/>
          <w:sz w:val="24"/>
          <w:szCs w:val="24"/>
        </w:rPr>
        <w:t>FROM:</w:t>
      </w:r>
      <w:r w:rsidR="00126FF6">
        <w:rPr>
          <w:rFonts w:asciiTheme="majorHAnsi" w:hAnsiTheme="majorHAnsi"/>
          <w:sz w:val="24"/>
          <w:szCs w:val="24"/>
        </w:rPr>
        <w:tab/>
      </w:r>
      <w:r w:rsidR="00BC7380">
        <w:rPr>
          <w:rFonts w:asciiTheme="majorHAnsi" w:hAnsiTheme="majorHAnsi"/>
          <w:sz w:val="24"/>
          <w:szCs w:val="24"/>
        </w:rPr>
        <w:t>Christopher M. Flynn</w:t>
      </w:r>
      <w:r w:rsidR="00A81017">
        <w:rPr>
          <w:rFonts w:asciiTheme="majorHAnsi" w:hAnsiTheme="majorHAnsi"/>
          <w:sz w:val="24"/>
          <w:szCs w:val="24"/>
        </w:rPr>
        <w:t xml:space="preserve">, </w:t>
      </w:r>
      <w:r w:rsidR="00BC7380">
        <w:rPr>
          <w:rFonts w:asciiTheme="majorHAnsi" w:hAnsiTheme="majorHAnsi"/>
          <w:sz w:val="24"/>
          <w:szCs w:val="24"/>
        </w:rPr>
        <w:t xml:space="preserve">Deputy General Counsel and </w:t>
      </w:r>
      <w:r w:rsidR="00A81017">
        <w:rPr>
          <w:rFonts w:asciiTheme="majorHAnsi" w:hAnsiTheme="majorHAnsi"/>
          <w:sz w:val="24"/>
          <w:szCs w:val="24"/>
        </w:rPr>
        <w:t>Chief Procurement Officer</w:t>
      </w:r>
    </w:p>
    <w:p w14:paraId="4481E125" w14:textId="77777777" w:rsidR="00526963" w:rsidRPr="00126FF6" w:rsidRDefault="00526963" w:rsidP="00526963">
      <w:pPr>
        <w:rPr>
          <w:rFonts w:asciiTheme="majorHAnsi" w:hAnsiTheme="majorHAnsi"/>
          <w:sz w:val="24"/>
          <w:szCs w:val="24"/>
        </w:rPr>
      </w:pPr>
    </w:p>
    <w:p w14:paraId="45A71A0A" w14:textId="5EFAFEB8" w:rsidR="00526963" w:rsidRPr="00126FF6" w:rsidRDefault="00526963" w:rsidP="00526963">
      <w:pPr>
        <w:ind w:left="1440" w:hanging="1440"/>
        <w:rPr>
          <w:rFonts w:asciiTheme="majorHAnsi" w:hAnsiTheme="majorHAnsi"/>
          <w:sz w:val="24"/>
          <w:szCs w:val="24"/>
        </w:rPr>
      </w:pPr>
      <w:r w:rsidRPr="00126FF6">
        <w:rPr>
          <w:rFonts w:asciiTheme="majorHAnsi" w:hAnsiTheme="majorHAnsi"/>
          <w:b/>
          <w:sz w:val="24"/>
          <w:szCs w:val="24"/>
        </w:rPr>
        <w:t>SUBJECT:</w:t>
      </w:r>
      <w:r w:rsidR="000D4F16" w:rsidRPr="00126FF6">
        <w:rPr>
          <w:rFonts w:asciiTheme="majorHAnsi" w:hAnsiTheme="majorHAnsi"/>
          <w:sz w:val="24"/>
          <w:szCs w:val="24"/>
        </w:rPr>
        <w:tab/>
      </w:r>
      <w:r w:rsidR="00717D61">
        <w:rPr>
          <w:rFonts w:asciiTheme="majorHAnsi" w:hAnsiTheme="majorHAnsi"/>
          <w:sz w:val="24"/>
          <w:szCs w:val="24"/>
        </w:rPr>
        <w:t>Small Business Annual Report</w:t>
      </w:r>
    </w:p>
    <w:p w14:paraId="03D41F70" w14:textId="77777777" w:rsidR="00126FF6" w:rsidRPr="00C101FB" w:rsidRDefault="00126FF6" w:rsidP="00526963">
      <w:pPr>
        <w:rPr>
          <w:rFonts w:asciiTheme="majorHAnsi" w:hAnsiTheme="majorHAnsi"/>
          <w:sz w:val="16"/>
          <w:szCs w:val="16"/>
        </w:rPr>
      </w:pPr>
    </w:p>
    <w:p w14:paraId="7BC6B0B3" w14:textId="77777777" w:rsidR="00C101FB" w:rsidRPr="00C101FB" w:rsidRDefault="00C101FB" w:rsidP="00526963">
      <w:pPr>
        <w:rPr>
          <w:rFonts w:asciiTheme="majorHAnsi" w:hAnsiTheme="majorHAnsi"/>
          <w:b/>
          <w:sz w:val="16"/>
          <w:szCs w:val="16"/>
          <w:u w:val="single"/>
        </w:rPr>
      </w:pPr>
    </w:p>
    <w:tbl>
      <w:tblPr>
        <w:tblW w:w="0" w:type="auto"/>
        <w:tblBorders>
          <w:top w:val="double" w:sz="4" w:space="0" w:color="auto"/>
          <w:bottom w:val="double" w:sz="4" w:space="0" w:color="auto"/>
        </w:tblBorders>
        <w:shd w:val="clear" w:color="auto" w:fill="FFFFFF" w:themeFill="background1"/>
        <w:tblLook w:val="04A0" w:firstRow="1" w:lastRow="0" w:firstColumn="1" w:lastColumn="0" w:noHBand="0" w:noVBand="1"/>
      </w:tblPr>
      <w:tblGrid>
        <w:gridCol w:w="9360"/>
      </w:tblGrid>
      <w:tr w:rsidR="00126FF6" w:rsidRPr="00954179" w14:paraId="7DC451A8" w14:textId="77777777" w:rsidTr="007C255F">
        <w:trPr>
          <w:trHeight w:val="335"/>
        </w:trPr>
        <w:tc>
          <w:tcPr>
            <w:tcW w:w="11016" w:type="dxa"/>
            <w:shd w:val="clear" w:color="auto" w:fill="FFFFFF" w:themeFill="background1"/>
            <w:vAlign w:val="bottom"/>
          </w:tcPr>
          <w:p w14:paraId="1075B8E5" w14:textId="77777777" w:rsidR="00126FF6" w:rsidRPr="00954179" w:rsidRDefault="00126FF6" w:rsidP="007C255F">
            <w:pPr>
              <w:pStyle w:val="Subtitle"/>
              <w:jc w:val="left"/>
              <w:rPr>
                <w:rFonts w:asciiTheme="majorHAnsi" w:hAnsiTheme="majorHAnsi"/>
                <w:color w:val="000000" w:themeColor="text1"/>
                <w:sz w:val="24"/>
                <w:szCs w:val="24"/>
              </w:rPr>
            </w:pPr>
          </w:p>
          <w:p w14:paraId="0F42D208" w14:textId="6744F7F2" w:rsidR="00126FF6" w:rsidRPr="00954179" w:rsidRDefault="00AB353E" w:rsidP="007C255F">
            <w:pPr>
              <w:pStyle w:val="Subtitle"/>
              <w:rPr>
                <w:rFonts w:asciiTheme="majorHAnsi" w:hAnsiTheme="majorHAnsi"/>
                <w:color w:val="000000" w:themeColor="text1"/>
                <w:sz w:val="24"/>
                <w:szCs w:val="24"/>
              </w:rPr>
            </w:pPr>
            <w:r>
              <w:rPr>
                <w:rFonts w:asciiTheme="majorHAnsi" w:hAnsiTheme="majorHAnsi"/>
                <w:color w:val="000000" w:themeColor="text1"/>
                <w:sz w:val="24"/>
                <w:szCs w:val="24"/>
              </w:rPr>
              <w:t>Procurement</w:t>
            </w:r>
            <w:r w:rsidR="00763BC3">
              <w:rPr>
                <w:rFonts w:asciiTheme="majorHAnsi" w:hAnsiTheme="majorHAnsi"/>
                <w:color w:val="000000" w:themeColor="text1"/>
                <w:sz w:val="24"/>
                <w:szCs w:val="24"/>
              </w:rPr>
              <w:t xml:space="preserve"> </w:t>
            </w:r>
            <w:r w:rsidR="005A7D81">
              <w:rPr>
                <w:rFonts w:asciiTheme="majorHAnsi" w:hAnsiTheme="majorHAnsi"/>
                <w:color w:val="000000" w:themeColor="text1"/>
                <w:sz w:val="24"/>
                <w:szCs w:val="24"/>
              </w:rPr>
              <w:t>Report Summary</w:t>
            </w:r>
          </w:p>
          <w:p w14:paraId="11803029" w14:textId="77777777" w:rsidR="00126FF6" w:rsidRPr="00954179" w:rsidRDefault="00126FF6" w:rsidP="007C255F">
            <w:pPr>
              <w:pStyle w:val="Subtitle"/>
              <w:jc w:val="left"/>
              <w:rPr>
                <w:rFonts w:asciiTheme="majorHAnsi" w:hAnsiTheme="majorHAnsi"/>
                <w:color w:val="000000" w:themeColor="text1"/>
                <w:sz w:val="24"/>
                <w:szCs w:val="24"/>
              </w:rPr>
            </w:pPr>
          </w:p>
        </w:tc>
      </w:tr>
    </w:tbl>
    <w:p w14:paraId="6F7DA625" w14:textId="77777777" w:rsidR="000D4F16" w:rsidRDefault="000D4F16" w:rsidP="00526963">
      <w:pPr>
        <w:rPr>
          <w:rFonts w:asciiTheme="majorHAnsi" w:hAnsiTheme="majorHAnsi"/>
          <w:sz w:val="23"/>
          <w:szCs w:val="23"/>
        </w:rPr>
      </w:pPr>
    </w:p>
    <w:p w14:paraId="56D6766A" w14:textId="202CF5E0" w:rsidR="00C101FB" w:rsidRDefault="00D327DD" w:rsidP="00786E70">
      <w:pPr>
        <w:jc w:val="both"/>
        <w:rPr>
          <w:rFonts w:asciiTheme="majorHAnsi" w:hAnsiTheme="majorHAnsi"/>
          <w:sz w:val="23"/>
          <w:szCs w:val="23"/>
        </w:rPr>
      </w:pPr>
      <w:r>
        <w:rPr>
          <w:rFonts w:asciiTheme="majorHAnsi" w:hAnsiTheme="majorHAnsi"/>
          <w:sz w:val="23"/>
          <w:szCs w:val="23"/>
        </w:rPr>
        <w:t>This report</w:t>
      </w:r>
      <w:r w:rsidR="00763BC3">
        <w:rPr>
          <w:rFonts w:asciiTheme="majorHAnsi" w:hAnsiTheme="majorHAnsi"/>
          <w:sz w:val="23"/>
          <w:szCs w:val="23"/>
        </w:rPr>
        <w:t xml:space="preserve"> </w:t>
      </w:r>
      <w:r w:rsidR="000D4F16">
        <w:rPr>
          <w:rFonts w:asciiTheme="majorHAnsi" w:hAnsiTheme="majorHAnsi"/>
          <w:sz w:val="23"/>
          <w:szCs w:val="23"/>
        </w:rPr>
        <w:t xml:space="preserve">encompasses information gathered on the </w:t>
      </w:r>
      <w:r w:rsidR="00717D61">
        <w:rPr>
          <w:rFonts w:asciiTheme="majorHAnsi" w:hAnsiTheme="majorHAnsi"/>
          <w:sz w:val="23"/>
          <w:szCs w:val="23"/>
        </w:rPr>
        <w:t xml:space="preserve">award </w:t>
      </w:r>
      <w:r w:rsidR="000D4F16">
        <w:rPr>
          <w:rFonts w:asciiTheme="majorHAnsi" w:hAnsiTheme="majorHAnsi"/>
          <w:sz w:val="23"/>
          <w:szCs w:val="23"/>
        </w:rPr>
        <w:t>of</w:t>
      </w:r>
      <w:r w:rsidR="00717D61">
        <w:rPr>
          <w:rFonts w:asciiTheme="majorHAnsi" w:hAnsiTheme="majorHAnsi"/>
          <w:sz w:val="23"/>
          <w:szCs w:val="23"/>
        </w:rPr>
        <w:t xml:space="preserve"> contracts to</w:t>
      </w:r>
      <w:r w:rsidR="000D4F16">
        <w:rPr>
          <w:rFonts w:asciiTheme="majorHAnsi" w:hAnsiTheme="majorHAnsi"/>
          <w:sz w:val="23"/>
          <w:szCs w:val="23"/>
        </w:rPr>
        <w:t xml:space="preserve"> </w:t>
      </w:r>
      <w:r w:rsidR="00EC2B31">
        <w:rPr>
          <w:rFonts w:asciiTheme="majorHAnsi" w:hAnsiTheme="majorHAnsi"/>
          <w:sz w:val="23"/>
          <w:szCs w:val="23"/>
        </w:rPr>
        <w:t>small business</w:t>
      </w:r>
      <w:r w:rsidR="00717D61">
        <w:rPr>
          <w:rFonts w:asciiTheme="majorHAnsi" w:hAnsiTheme="majorHAnsi"/>
          <w:sz w:val="23"/>
          <w:szCs w:val="23"/>
        </w:rPr>
        <w:t>es</w:t>
      </w:r>
      <w:r w:rsidR="00EC2B31">
        <w:rPr>
          <w:rFonts w:asciiTheme="majorHAnsi" w:hAnsiTheme="majorHAnsi"/>
          <w:sz w:val="23"/>
          <w:szCs w:val="23"/>
        </w:rPr>
        <w:t xml:space="preserve"> </w:t>
      </w:r>
      <w:r w:rsidR="00A21A8F">
        <w:rPr>
          <w:rFonts w:asciiTheme="majorHAnsi" w:hAnsiTheme="majorHAnsi"/>
          <w:sz w:val="23"/>
          <w:szCs w:val="23"/>
        </w:rPr>
        <w:t>by the Illinois State Treasurer’s Office</w:t>
      </w:r>
      <w:r w:rsidR="004F03DE">
        <w:rPr>
          <w:rFonts w:asciiTheme="majorHAnsi" w:hAnsiTheme="majorHAnsi"/>
          <w:sz w:val="23"/>
          <w:szCs w:val="23"/>
        </w:rPr>
        <w:t xml:space="preserve"> (“Treasurer’s Office”)</w:t>
      </w:r>
      <w:r w:rsidR="000520D7">
        <w:rPr>
          <w:rFonts w:asciiTheme="majorHAnsi" w:hAnsiTheme="majorHAnsi"/>
          <w:sz w:val="23"/>
          <w:szCs w:val="23"/>
        </w:rPr>
        <w:t xml:space="preserve"> and </w:t>
      </w:r>
      <w:r w:rsidR="00BC32C2">
        <w:rPr>
          <w:rFonts w:asciiTheme="majorHAnsi" w:hAnsiTheme="majorHAnsi"/>
          <w:sz w:val="23"/>
          <w:szCs w:val="23"/>
        </w:rPr>
        <w:t>will</w:t>
      </w:r>
      <w:r w:rsidR="000520D7">
        <w:rPr>
          <w:rFonts w:asciiTheme="majorHAnsi" w:hAnsiTheme="majorHAnsi"/>
          <w:sz w:val="23"/>
          <w:szCs w:val="23"/>
        </w:rPr>
        <w:t xml:space="preserve"> share the following:</w:t>
      </w:r>
      <w:r w:rsidR="00BC32C2">
        <w:rPr>
          <w:rFonts w:asciiTheme="majorHAnsi" w:hAnsiTheme="majorHAnsi"/>
          <w:sz w:val="23"/>
          <w:szCs w:val="23"/>
        </w:rPr>
        <w:t xml:space="preserve"> </w:t>
      </w:r>
      <w:r w:rsidR="006659F6">
        <w:rPr>
          <w:rFonts w:asciiTheme="majorHAnsi" w:hAnsiTheme="majorHAnsi"/>
          <w:sz w:val="23"/>
          <w:szCs w:val="23"/>
        </w:rPr>
        <w:t xml:space="preserve">(1) </w:t>
      </w:r>
      <w:r w:rsidR="008515E2">
        <w:rPr>
          <w:rFonts w:asciiTheme="majorHAnsi" w:hAnsiTheme="majorHAnsi"/>
          <w:sz w:val="23"/>
          <w:szCs w:val="23"/>
        </w:rPr>
        <w:t xml:space="preserve">current policies in place </w:t>
      </w:r>
      <w:r w:rsidR="005F4CB4">
        <w:rPr>
          <w:rFonts w:asciiTheme="majorHAnsi" w:hAnsiTheme="majorHAnsi"/>
          <w:sz w:val="23"/>
          <w:szCs w:val="23"/>
        </w:rPr>
        <w:t>relating to small business vendors contracted by the Treasurer’s Office</w:t>
      </w:r>
      <w:r w:rsidR="0051064A">
        <w:rPr>
          <w:rFonts w:asciiTheme="majorHAnsi" w:hAnsiTheme="majorHAnsi"/>
          <w:sz w:val="23"/>
          <w:szCs w:val="23"/>
        </w:rPr>
        <w:t xml:space="preserve"> </w:t>
      </w:r>
      <w:r w:rsidR="005B74A5">
        <w:rPr>
          <w:rFonts w:asciiTheme="majorHAnsi" w:hAnsiTheme="majorHAnsi"/>
          <w:sz w:val="23"/>
          <w:szCs w:val="23"/>
        </w:rPr>
        <w:t xml:space="preserve">and </w:t>
      </w:r>
      <w:r w:rsidR="0051064A">
        <w:rPr>
          <w:rFonts w:asciiTheme="majorHAnsi" w:hAnsiTheme="majorHAnsi"/>
          <w:sz w:val="23"/>
          <w:szCs w:val="23"/>
        </w:rPr>
        <w:t xml:space="preserve">(2) </w:t>
      </w:r>
      <w:r w:rsidR="005F4CB4">
        <w:rPr>
          <w:rFonts w:asciiTheme="majorHAnsi" w:hAnsiTheme="majorHAnsi"/>
          <w:sz w:val="23"/>
          <w:szCs w:val="23"/>
        </w:rPr>
        <w:t xml:space="preserve">current utilization </w:t>
      </w:r>
      <w:r w:rsidR="00717D61">
        <w:rPr>
          <w:rFonts w:asciiTheme="majorHAnsi" w:hAnsiTheme="majorHAnsi"/>
          <w:sz w:val="23"/>
          <w:szCs w:val="23"/>
        </w:rPr>
        <w:t>data</w:t>
      </w:r>
      <w:r w:rsidR="005B74A5" w:rsidRPr="005B74A5">
        <w:rPr>
          <w:rFonts w:asciiTheme="majorHAnsi" w:hAnsiTheme="majorHAnsi"/>
          <w:sz w:val="23"/>
          <w:szCs w:val="23"/>
        </w:rPr>
        <w:t xml:space="preserve"> </w:t>
      </w:r>
      <w:r w:rsidR="005B74A5">
        <w:rPr>
          <w:rFonts w:asciiTheme="majorHAnsi" w:hAnsiTheme="majorHAnsi"/>
          <w:sz w:val="23"/>
          <w:szCs w:val="23"/>
        </w:rPr>
        <w:t>and information regarding implementation.</w:t>
      </w:r>
      <w:r w:rsidR="00717D61">
        <w:rPr>
          <w:rFonts w:asciiTheme="majorHAnsi" w:hAnsiTheme="majorHAnsi"/>
          <w:sz w:val="23"/>
          <w:szCs w:val="23"/>
        </w:rPr>
        <w:t xml:space="preserve"> </w:t>
      </w:r>
    </w:p>
    <w:p w14:paraId="7895064A" w14:textId="77777777" w:rsidR="00297002" w:rsidRDefault="00297002" w:rsidP="00786E70">
      <w:pPr>
        <w:jc w:val="both"/>
        <w:rPr>
          <w:rFonts w:asciiTheme="majorHAnsi" w:hAnsiTheme="majorHAnsi"/>
          <w:sz w:val="23"/>
          <w:szCs w:val="23"/>
        </w:rPr>
      </w:pPr>
    </w:p>
    <w:p w14:paraId="6AC15BB0" w14:textId="77E164B8" w:rsidR="00A21A8F" w:rsidRDefault="00A21A8F" w:rsidP="00786E70">
      <w:pPr>
        <w:jc w:val="both"/>
        <w:rPr>
          <w:rFonts w:asciiTheme="majorHAnsi" w:hAnsiTheme="majorHAnsi"/>
          <w:sz w:val="23"/>
          <w:szCs w:val="23"/>
        </w:rPr>
      </w:pPr>
      <w:r>
        <w:rPr>
          <w:rFonts w:asciiTheme="majorHAnsi" w:hAnsiTheme="majorHAnsi"/>
          <w:sz w:val="23"/>
          <w:szCs w:val="23"/>
        </w:rPr>
        <w:t xml:space="preserve">This </w:t>
      </w:r>
      <w:r w:rsidR="000520D7">
        <w:rPr>
          <w:rFonts w:asciiTheme="majorHAnsi" w:hAnsiTheme="majorHAnsi"/>
          <w:sz w:val="23"/>
          <w:szCs w:val="23"/>
        </w:rPr>
        <w:t xml:space="preserve">report </w:t>
      </w:r>
      <w:r>
        <w:rPr>
          <w:rFonts w:asciiTheme="majorHAnsi" w:hAnsiTheme="majorHAnsi"/>
          <w:sz w:val="23"/>
          <w:szCs w:val="23"/>
        </w:rPr>
        <w:t xml:space="preserve">includes </w:t>
      </w:r>
      <w:r w:rsidR="00114D64">
        <w:rPr>
          <w:rFonts w:asciiTheme="majorHAnsi" w:hAnsiTheme="majorHAnsi"/>
          <w:sz w:val="23"/>
          <w:szCs w:val="23"/>
        </w:rPr>
        <w:t>t</w:t>
      </w:r>
      <w:r w:rsidR="00297002">
        <w:rPr>
          <w:rFonts w:asciiTheme="majorHAnsi" w:hAnsiTheme="majorHAnsi"/>
          <w:sz w:val="23"/>
          <w:szCs w:val="23"/>
        </w:rPr>
        <w:t xml:space="preserve">wo </w:t>
      </w:r>
      <w:r w:rsidR="00F16133">
        <w:rPr>
          <w:rFonts w:asciiTheme="majorHAnsi" w:hAnsiTheme="majorHAnsi"/>
          <w:sz w:val="23"/>
          <w:szCs w:val="23"/>
        </w:rPr>
        <w:t>parts</w:t>
      </w:r>
      <w:r>
        <w:rPr>
          <w:rFonts w:asciiTheme="majorHAnsi" w:hAnsiTheme="majorHAnsi"/>
          <w:sz w:val="23"/>
          <w:szCs w:val="23"/>
        </w:rPr>
        <w:t>:</w:t>
      </w:r>
    </w:p>
    <w:p w14:paraId="16E76DB8" w14:textId="77777777" w:rsidR="00A21A8F" w:rsidRDefault="00A21A8F" w:rsidP="00786E70">
      <w:pPr>
        <w:jc w:val="both"/>
        <w:rPr>
          <w:rFonts w:asciiTheme="majorHAnsi" w:hAnsiTheme="majorHAnsi"/>
          <w:sz w:val="23"/>
          <w:szCs w:val="23"/>
        </w:rPr>
      </w:pPr>
    </w:p>
    <w:p w14:paraId="4768EC35" w14:textId="2448AC03" w:rsidR="000D4F16" w:rsidRDefault="00A21A8F" w:rsidP="00786E70">
      <w:pPr>
        <w:pStyle w:val="ListParagraph"/>
        <w:numPr>
          <w:ilvl w:val="0"/>
          <w:numId w:val="3"/>
        </w:numPr>
        <w:jc w:val="both"/>
        <w:rPr>
          <w:rFonts w:asciiTheme="majorHAnsi" w:hAnsiTheme="majorHAnsi"/>
          <w:sz w:val="23"/>
          <w:szCs w:val="23"/>
        </w:rPr>
      </w:pPr>
      <w:r>
        <w:rPr>
          <w:rFonts w:asciiTheme="majorHAnsi" w:hAnsiTheme="majorHAnsi"/>
          <w:sz w:val="23"/>
          <w:szCs w:val="23"/>
        </w:rPr>
        <w:t xml:space="preserve">Policies and Procedures </w:t>
      </w:r>
      <w:r w:rsidR="00F16133">
        <w:rPr>
          <w:rFonts w:asciiTheme="majorHAnsi" w:hAnsiTheme="majorHAnsi"/>
          <w:sz w:val="23"/>
          <w:szCs w:val="23"/>
        </w:rPr>
        <w:t>R</w:t>
      </w:r>
      <w:r>
        <w:rPr>
          <w:rFonts w:asciiTheme="majorHAnsi" w:hAnsiTheme="majorHAnsi"/>
          <w:sz w:val="23"/>
          <w:szCs w:val="23"/>
        </w:rPr>
        <w:t xml:space="preserve">elating to </w:t>
      </w:r>
      <w:r w:rsidR="00367ECF">
        <w:rPr>
          <w:rFonts w:asciiTheme="majorHAnsi" w:hAnsiTheme="majorHAnsi"/>
          <w:sz w:val="23"/>
          <w:szCs w:val="23"/>
        </w:rPr>
        <w:t>Small Business</w:t>
      </w:r>
      <w:r w:rsidR="009F4817">
        <w:rPr>
          <w:rFonts w:asciiTheme="majorHAnsi" w:hAnsiTheme="majorHAnsi"/>
          <w:sz w:val="23"/>
          <w:szCs w:val="23"/>
        </w:rPr>
        <w:t xml:space="preserve"> Contractors</w:t>
      </w:r>
    </w:p>
    <w:p w14:paraId="561D521C" w14:textId="10AC2AD6" w:rsidR="00A21A8F" w:rsidRPr="00297002" w:rsidRDefault="00A21A8F" w:rsidP="00786E70">
      <w:pPr>
        <w:pStyle w:val="ListParagraph"/>
        <w:numPr>
          <w:ilvl w:val="0"/>
          <w:numId w:val="3"/>
        </w:numPr>
        <w:jc w:val="both"/>
        <w:rPr>
          <w:rFonts w:asciiTheme="majorHAnsi" w:hAnsiTheme="majorHAnsi"/>
          <w:sz w:val="23"/>
          <w:szCs w:val="23"/>
        </w:rPr>
      </w:pPr>
      <w:r>
        <w:rPr>
          <w:rFonts w:asciiTheme="majorHAnsi" w:hAnsiTheme="majorHAnsi"/>
          <w:sz w:val="23"/>
          <w:szCs w:val="23"/>
        </w:rPr>
        <w:t xml:space="preserve">Utilization </w:t>
      </w:r>
      <w:r w:rsidR="005F4CB4">
        <w:rPr>
          <w:rFonts w:asciiTheme="majorHAnsi" w:hAnsiTheme="majorHAnsi"/>
          <w:sz w:val="23"/>
          <w:szCs w:val="23"/>
        </w:rPr>
        <w:t>Data</w:t>
      </w:r>
      <w:r w:rsidR="005B74A5">
        <w:rPr>
          <w:rFonts w:asciiTheme="majorHAnsi" w:hAnsiTheme="majorHAnsi"/>
          <w:sz w:val="23"/>
          <w:szCs w:val="23"/>
        </w:rPr>
        <w:t xml:space="preserve"> and Implementation</w:t>
      </w:r>
    </w:p>
    <w:p w14:paraId="3DE3DFD4" w14:textId="77777777" w:rsidR="00126FF6" w:rsidRPr="00126FF6" w:rsidRDefault="00126FF6" w:rsidP="00126FF6">
      <w:pPr>
        <w:ind w:left="416"/>
        <w:rPr>
          <w:rFonts w:asciiTheme="majorHAnsi" w:hAnsiTheme="majorHAnsi"/>
          <w:sz w:val="23"/>
          <w:szCs w:val="23"/>
        </w:rPr>
      </w:pPr>
    </w:p>
    <w:tbl>
      <w:tblPr>
        <w:tblW w:w="0" w:type="auto"/>
        <w:tblBorders>
          <w:top w:val="double" w:sz="4" w:space="0" w:color="auto"/>
          <w:bottom w:val="double" w:sz="4" w:space="0" w:color="auto"/>
        </w:tblBorders>
        <w:shd w:val="clear" w:color="auto" w:fill="FFFFFF" w:themeFill="background1"/>
        <w:tblLook w:val="04A0" w:firstRow="1" w:lastRow="0" w:firstColumn="1" w:lastColumn="0" w:noHBand="0" w:noVBand="1"/>
      </w:tblPr>
      <w:tblGrid>
        <w:gridCol w:w="9360"/>
      </w:tblGrid>
      <w:tr w:rsidR="00126FF6" w:rsidRPr="00954179" w14:paraId="409F717C" w14:textId="77777777" w:rsidTr="007C255F">
        <w:trPr>
          <w:trHeight w:val="335"/>
        </w:trPr>
        <w:tc>
          <w:tcPr>
            <w:tcW w:w="11016" w:type="dxa"/>
            <w:shd w:val="clear" w:color="auto" w:fill="FFFFFF" w:themeFill="background1"/>
            <w:vAlign w:val="bottom"/>
          </w:tcPr>
          <w:p w14:paraId="6A0E91D1" w14:textId="77777777" w:rsidR="00126FF6" w:rsidRPr="00954179" w:rsidRDefault="00126FF6" w:rsidP="007C255F">
            <w:pPr>
              <w:pStyle w:val="Subtitle"/>
              <w:jc w:val="left"/>
              <w:rPr>
                <w:rFonts w:asciiTheme="majorHAnsi" w:hAnsiTheme="majorHAnsi"/>
                <w:color w:val="000000" w:themeColor="text1"/>
                <w:sz w:val="24"/>
                <w:szCs w:val="24"/>
              </w:rPr>
            </w:pPr>
          </w:p>
          <w:p w14:paraId="4BFCFBE8" w14:textId="373DEC76" w:rsidR="00126FF6" w:rsidRDefault="00126FF6" w:rsidP="00126FF6">
            <w:pPr>
              <w:pStyle w:val="Subtitle"/>
              <w:rPr>
                <w:rFonts w:asciiTheme="majorHAnsi" w:hAnsiTheme="majorHAnsi"/>
                <w:color w:val="000000" w:themeColor="text1"/>
                <w:sz w:val="24"/>
                <w:szCs w:val="24"/>
              </w:rPr>
            </w:pPr>
            <w:r w:rsidRPr="00126FF6">
              <w:rPr>
                <w:rFonts w:asciiTheme="majorHAnsi" w:hAnsiTheme="majorHAnsi"/>
                <w:color w:val="000000" w:themeColor="text1"/>
                <w:sz w:val="24"/>
                <w:szCs w:val="24"/>
              </w:rPr>
              <w:t>Policies a</w:t>
            </w:r>
            <w:r>
              <w:rPr>
                <w:rFonts w:asciiTheme="majorHAnsi" w:hAnsiTheme="majorHAnsi"/>
                <w:color w:val="000000" w:themeColor="text1"/>
                <w:sz w:val="24"/>
                <w:szCs w:val="24"/>
              </w:rPr>
              <w:t xml:space="preserve">nd Procedures </w:t>
            </w:r>
            <w:r w:rsidR="000847D1">
              <w:rPr>
                <w:rFonts w:asciiTheme="majorHAnsi" w:hAnsiTheme="majorHAnsi"/>
                <w:color w:val="000000" w:themeColor="text1"/>
                <w:sz w:val="24"/>
                <w:szCs w:val="24"/>
              </w:rPr>
              <w:t>R</w:t>
            </w:r>
            <w:r>
              <w:rPr>
                <w:rFonts w:asciiTheme="majorHAnsi" w:hAnsiTheme="majorHAnsi"/>
                <w:color w:val="000000" w:themeColor="text1"/>
                <w:sz w:val="24"/>
                <w:szCs w:val="24"/>
              </w:rPr>
              <w:t xml:space="preserve">elating to </w:t>
            </w:r>
            <w:r w:rsidR="00367ECF">
              <w:rPr>
                <w:rFonts w:asciiTheme="majorHAnsi" w:hAnsiTheme="majorHAnsi"/>
                <w:color w:val="000000" w:themeColor="text1"/>
                <w:sz w:val="24"/>
                <w:szCs w:val="24"/>
              </w:rPr>
              <w:t>Small Business</w:t>
            </w:r>
            <w:r w:rsidR="0011621C">
              <w:rPr>
                <w:rFonts w:asciiTheme="majorHAnsi" w:hAnsiTheme="majorHAnsi"/>
                <w:color w:val="000000" w:themeColor="text1"/>
                <w:sz w:val="24"/>
                <w:szCs w:val="24"/>
              </w:rPr>
              <w:t xml:space="preserve"> Contractors</w:t>
            </w:r>
          </w:p>
          <w:p w14:paraId="4358CC39" w14:textId="77777777" w:rsidR="00126FF6" w:rsidRPr="00954179" w:rsidRDefault="00126FF6" w:rsidP="007C255F">
            <w:pPr>
              <w:pStyle w:val="Subtitle"/>
              <w:jc w:val="left"/>
              <w:rPr>
                <w:rFonts w:asciiTheme="majorHAnsi" w:hAnsiTheme="majorHAnsi"/>
                <w:color w:val="000000" w:themeColor="text1"/>
                <w:sz w:val="24"/>
                <w:szCs w:val="24"/>
              </w:rPr>
            </w:pPr>
          </w:p>
        </w:tc>
      </w:tr>
    </w:tbl>
    <w:p w14:paraId="3FD18687" w14:textId="77777777" w:rsidR="000D4F16" w:rsidRDefault="000D4F16" w:rsidP="00526963">
      <w:pPr>
        <w:rPr>
          <w:rFonts w:asciiTheme="majorHAnsi" w:hAnsiTheme="majorHAnsi"/>
          <w:sz w:val="23"/>
          <w:szCs w:val="23"/>
        </w:rPr>
      </w:pPr>
    </w:p>
    <w:p w14:paraId="6422B2C5" w14:textId="161D4C77" w:rsidR="00915919" w:rsidRDefault="00915919" w:rsidP="00786E70">
      <w:pPr>
        <w:jc w:val="both"/>
        <w:rPr>
          <w:rFonts w:asciiTheme="majorHAnsi" w:hAnsiTheme="majorHAnsi"/>
          <w:sz w:val="23"/>
          <w:szCs w:val="23"/>
          <w:u w:val="single"/>
        </w:rPr>
      </w:pPr>
      <w:r w:rsidRPr="00915919">
        <w:rPr>
          <w:rFonts w:asciiTheme="majorHAnsi" w:hAnsiTheme="majorHAnsi"/>
          <w:sz w:val="23"/>
          <w:szCs w:val="23"/>
          <w:u w:val="single"/>
        </w:rPr>
        <w:t>Policies</w:t>
      </w:r>
    </w:p>
    <w:p w14:paraId="7D0B217B" w14:textId="2F106AFD" w:rsidR="00745184" w:rsidRDefault="00745184" w:rsidP="00786E70">
      <w:pPr>
        <w:jc w:val="both"/>
        <w:rPr>
          <w:rFonts w:asciiTheme="majorHAnsi" w:hAnsiTheme="majorHAnsi"/>
          <w:sz w:val="23"/>
          <w:szCs w:val="23"/>
          <w:u w:val="single"/>
        </w:rPr>
      </w:pPr>
    </w:p>
    <w:p w14:paraId="23E536C4" w14:textId="0B057DFE" w:rsidR="00745184" w:rsidRPr="00745184" w:rsidRDefault="00222E1D" w:rsidP="00786E70">
      <w:pPr>
        <w:jc w:val="both"/>
        <w:rPr>
          <w:rFonts w:asciiTheme="majorHAnsi" w:hAnsiTheme="majorHAnsi"/>
          <w:sz w:val="23"/>
          <w:szCs w:val="23"/>
        </w:rPr>
      </w:pPr>
      <w:r>
        <w:rPr>
          <w:rFonts w:asciiTheme="majorHAnsi" w:hAnsiTheme="majorHAnsi"/>
          <w:sz w:val="23"/>
          <w:szCs w:val="23"/>
        </w:rPr>
        <w:t xml:space="preserve">Section 1400.4560(g) of the </w:t>
      </w:r>
      <w:r w:rsidR="003257E0">
        <w:rPr>
          <w:rFonts w:asciiTheme="majorHAnsi" w:hAnsiTheme="majorHAnsi"/>
          <w:sz w:val="23"/>
          <w:szCs w:val="23"/>
        </w:rPr>
        <w:t xml:space="preserve">Office of the Treasurer Procurement Rules </w:t>
      </w:r>
      <w:r>
        <w:rPr>
          <w:rFonts w:asciiTheme="majorHAnsi" w:hAnsiTheme="majorHAnsi"/>
          <w:sz w:val="23"/>
          <w:szCs w:val="23"/>
        </w:rPr>
        <w:t>(44 Ill. Adm. Code 1400; “Rules”) require</w:t>
      </w:r>
      <w:r w:rsidR="000847D1">
        <w:rPr>
          <w:rFonts w:asciiTheme="majorHAnsi" w:hAnsiTheme="majorHAnsi"/>
          <w:sz w:val="23"/>
          <w:szCs w:val="23"/>
        </w:rPr>
        <w:t>s</w:t>
      </w:r>
      <w:r>
        <w:rPr>
          <w:rFonts w:asciiTheme="majorHAnsi" w:hAnsiTheme="majorHAnsi"/>
          <w:sz w:val="23"/>
          <w:szCs w:val="23"/>
        </w:rPr>
        <w:t xml:space="preserve"> that t</w:t>
      </w:r>
      <w:r w:rsidR="00745184">
        <w:rPr>
          <w:rFonts w:asciiTheme="majorHAnsi" w:hAnsiTheme="majorHAnsi"/>
          <w:sz w:val="23"/>
          <w:szCs w:val="23"/>
        </w:rPr>
        <w:t>he</w:t>
      </w:r>
      <w:r w:rsidR="00745184" w:rsidRPr="00745184">
        <w:rPr>
          <w:rFonts w:asciiTheme="majorHAnsi" w:hAnsiTheme="majorHAnsi"/>
          <w:sz w:val="23"/>
          <w:szCs w:val="23"/>
        </w:rPr>
        <w:t xml:space="preserve"> Chief Procurement Officer annually before December 1 report in writing to the General Assembly concerning the awarding of contracts to small businesses.  The report will include the total value of awards made in the preceding fiscal year under the designation of small business set-aside.  The requirement for reporting to the General Assembly will be satisfied by filing copies of the report as required by Section 3.1 of the General Assembly Organization Act [25 ILCS 5/3.1]</w:t>
      </w:r>
      <w:r w:rsidR="00717D61">
        <w:rPr>
          <w:rFonts w:asciiTheme="majorHAnsi" w:hAnsiTheme="majorHAnsi"/>
          <w:sz w:val="23"/>
          <w:szCs w:val="23"/>
        </w:rPr>
        <w:t>. 44 Ill. Adm. Code 1400.4560(g).</w:t>
      </w:r>
    </w:p>
    <w:p w14:paraId="1D55E174" w14:textId="02B6D3BF" w:rsidR="0072760F" w:rsidRDefault="0072760F" w:rsidP="00786E70">
      <w:pPr>
        <w:jc w:val="both"/>
        <w:rPr>
          <w:rFonts w:asciiTheme="majorHAnsi" w:hAnsiTheme="majorHAnsi"/>
          <w:sz w:val="23"/>
          <w:szCs w:val="23"/>
          <w:u w:val="single"/>
        </w:rPr>
      </w:pPr>
    </w:p>
    <w:p w14:paraId="59AB26E4" w14:textId="1715C889" w:rsidR="0072760F" w:rsidRPr="00DC6BFD" w:rsidRDefault="0072760F" w:rsidP="00786E70">
      <w:pPr>
        <w:pStyle w:val="ListParagraph"/>
        <w:numPr>
          <w:ilvl w:val="0"/>
          <w:numId w:val="16"/>
        </w:numPr>
        <w:jc w:val="both"/>
        <w:rPr>
          <w:rFonts w:asciiTheme="majorHAnsi" w:hAnsiTheme="majorHAnsi"/>
          <w:sz w:val="23"/>
          <w:szCs w:val="23"/>
        </w:rPr>
      </w:pPr>
      <w:r w:rsidRPr="00DC6BFD">
        <w:rPr>
          <w:rFonts w:asciiTheme="majorHAnsi" w:hAnsiTheme="majorHAnsi"/>
          <w:sz w:val="23"/>
          <w:szCs w:val="23"/>
        </w:rPr>
        <w:t>Set-Aside</w:t>
      </w:r>
    </w:p>
    <w:p w14:paraId="15FFE015" w14:textId="77777777" w:rsidR="0072760F" w:rsidRPr="0072760F" w:rsidRDefault="0072760F" w:rsidP="00786E70">
      <w:pPr>
        <w:jc w:val="both"/>
        <w:rPr>
          <w:rFonts w:asciiTheme="majorHAnsi" w:hAnsiTheme="majorHAnsi"/>
          <w:sz w:val="23"/>
          <w:szCs w:val="23"/>
        </w:rPr>
      </w:pPr>
    </w:p>
    <w:p w14:paraId="144444A6" w14:textId="5B5ED905" w:rsidR="0072760F" w:rsidRPr="0072760F" w:rsidRDefault="0072760F" w:rsidP="00786E70">
      <w:pPr>
        <w:jc w:val="both"/>
        <w:rPr>
          <w:rFonts w:asciiTheme="majorHAnsi" w:hAnsiTheme="majorHAnsi"/>
          <w:sz w:val="23"/>
          <w:szCs w:val="23"/>
        </w:rPr>
      </w:pPr>
      <w:r w:rsidRPr="0072760F">
        <w:rPr>
          <w:rFonts w:asciiTheme="majorHAnsi" w:hAnsiTheme="majorHAnsi"/>
          <w:sz w:val="23"/>
          <w:szCs w:val="23"/>
        </w:rPr>
        <w:t xml:space="preserve">The Chief Procurement Officer may designate as small business set-asides a fair proportion of contracts for the provision of goods and services for award to small businesses in Illinois.  A set-aside designation may last indefinitely or for a stated </w:t>
      </w:r>
      <w:proofErr w:type="gramStart"/>
      <w:r w:rsidRPr="0072760F">
        <w:rPr>
          <w:rFonts w:asciiTheme="majorHAnsi" w:hAnsiTheme="majorHAnsi"/>
          <w:sz w:val="23"/>
          <w:szCs w:val="23"/>
        </w:rPr>
        <w:t>period of time</w:t>
      </w:r>
      <w:proofErr w:type="gramEnd"/>
      <w:r w:rsidRPr="0072760F">
        <w:rPr>
          <w:rFonts w:asciiTheme="majorHAnsi" w:hAnsiTheme="majorHAnsi"/>
          <w:sz w:val="23"/>
          <w:szCs w:val="23"/>
        </w:rPr>
        <w:t>.</w:t>
      </w:r>
      <w:r w:rsidR="00222E1D">
        <w:rPr>
          <w:rFonts w:asciiTheme="majorHAnsi" w:hAnsiTheme="majorHAnsi"/>
          <w:sz w:val="23"/>
          <w:szCs w:val="23"/>
        </w:rPr>
        <w:t xml:space="preserve"> 44 Ill. Adm. Code 1400.4560(a).</w:t>
      </w:r>
    </w:p>
    <w:p w14:paraId="1A0A3E91" w14:textId="77777777" w:rsidR="0072760F" w:rsidRPr="0072760F" w:rsidRDefault="0072760F" w:rsidP="00786E70">
      <w:pPr>
        <w:jc w:val="both"/>
        <w:rPr>
          <w:rFonts w:asciiTheme="majorHAnsi" w:hAnsiTheme="majorHAnsi"/>
          <w:sz w:val="23"/>
          <w:szCs w:val="23"/>
        </w:rPr>
      </w:pPr>
    </w:p>
    <w:p w14:paraId="54A25991" w14:textId="3D237701" w:rsidR="0072760F" w:rsidRPr="00DC6BFD" w:rsidRDefault="0072760F" w:rsidP="00786E70">
      <w:pPr>
        <w:pStyle w:val="ListParagraph"/>
        <w:numPr>
          <w:ilvl w:val="0"/>
          <w:numId w:val="16"/>
        </w:numPr>
        <w:jc w:val="both"/>
        <w:rPr>
          <w:rFonts w:asciiTheme="majorHAnsi" w:hAnsiTheme="majorHAnsi"/>
          <w:sz w:val="23"/>
          <w:szCs w:val="23"/>
        </w:rPr>
      </w:pPr>
      <w:r w:rsidRPr="00DC6BFD">
        <w:rPr>
          <w:rFonts w:asciiTheme="majorHAnsi" w:hAnsiTheme="majorHAnsi"/>
          <w:sz w:val="23"/>
          <w:szCs w:val="23"/>
        </w:rPr>
        <w:t>Required Use</w:t>
      </w:r>
    </w:p>
    <w:p w14:paraId="7352E697" w14:textId="77777777" w:rsidR="0072760F" w:rsidRPr="0072760F" w:rsidRDefault="0072760F" w:rsidP="00786E70">
      <w:pPr>
        <w:jc w:val="both"/>
        <w:rPr>
          <w:rFonts w:asciiTheme="majorHAnsi" w:hAnsiTheme="majorHAnsi"/>
          <w:sz w:val="23"/>
          <w:szCs w:val="23"/>
        </w:rPr>
      </w:pPr>
    </w:p>
    <w:p w14:paraId="4E6523AB" w14:textId="470EE8E7" w:rsidR="0072760F" w:rsidRPr="0072760F" w:rsidRDefault="0072760F" w:rsidP="00786E70">
      <w:pPr>
        <w:jc w:val="both"/>
        <w:rPr>
          <w:rFonts w:asciiTheme="majorHAnsi" w:hAnsiTheme="majorHAnsi"/>
          <w:sz w:val="23"/>
          <w:szCs w:val="23"/>
        </w:rPr>
      </w:pPr>
      <w:r w:rsidRPr="0072760F">
        <w:rPr>
          <w:rFonts w:asciiTheme="majorHAnsi" w:hAnsiTheme="majorHAnsi"/>
          <w:sz w:val="23"/>
          <w:szCs w:val="23"/>
        </w:rPr>
        <w:t xml:space="preserve">If the Treasurer's </w:t>
      </w:r>
      <w:r w:rsidR="000847D1">
        <w:rPr>
          <w:rFonts w:asciiTheme="majorHAnsi" w:hAnsiTheme="majorHAnsi"/>
          <w:sz w:val="23"/>
          <w:szCs w:val="23"/>
        </w:rPr>
        <w:t>O</w:t>
      </w:r>
      <w:r w:rsidRPr="0072760F">
        <w:rPr>
          <w:rFonts w:asciiTheme="majorHAnsi" w:hAnsiTheme="majorHAnsi"/>
          <w:sz w:val="23"/>
          <w:szCs w:val="23"/>
        </w:rPr>
        <w:t xml:space="preserve">ffice wishes to make a procurement covered by a set-aside designation, the solicitation must note that responses are limited to those from responsible small businesses.  </w:t>
      </w:r>
      <w:r w:rsidRPr="0072760F">
        <w:rPr>
          <w:rFonts w:asciiTheme="majorHAnsi" w:hAnsiTheme="majorHAnsi"/>
          <w:sz w:val="23"/>
          <w:szCs w:val="23"/>
        </w:rPr>
        <w:lastRenderedPageBreak/>
        <w:t xml:space="preserve">Bids, </w:t>
      </w:r>
      <w:proofErr w:type="gramStart"/>
      <w:r w:rsidRPr="0072760F">
        <w:rPr>
          <w:rFonts w:asciiTheme="majorHAnsi" w:hAnsiTheme="majorHAnsi"/>
          <w:sz w:val="23"/>
          <w:szCs w:val="23"/>
        </w:rPr>
        <w:t>proposals</w:t>
      </w:r>
      <w:proofErr w:type="gramEnd"/>
      <w:r w:rsidRPr="0072760F">
        <w:rPr>
          <w:rFonts w:asciiTheme="majorHAnsi" w:hAnsiTheme="majorHAnsi"/>
          <w:sz w:val="23"/>
          <w:szCs w:val="23"/>
        </w:rPr>
        <w:t xml:space="preserve"> or responses received from large businesses will be rejected as nonresponsive.</w:t>
      </w:r>
      <w:r w:rsidR="00222E1D">
        <w:rPr>
          <w:rFonts w:asciiTheme="majorHAnsi" w:hAnsiTheme="majorHAnsi"/>
          <w:sz w:val="23"/>
          <w:szCs w:val="23"/>
        </w:rPr>
        <w:t xml:space="preserve"> 44 Ill. Adm. Code 1400.4560(b).</w:t>
      </w:r>
    </w:p>
    <w:p w14:paraId="613EA9F6" w14:textId="77777777" w:rsidR="0072760F" w:rsidRPr="0072760F" w:rsidRDefault="0072760F" w:rsidP="00786E70">
      <w:pPr>
        <w:jc w:val="both"/>
        <w:rPr>
          <w:rFonts w:asciiTheme="majorHAnsi" w:hAnsiTheme="majorHAnsi"/>
          <w:sz w:val="23"/>
          <w:szCs w:val="23"/>
        </w:rPr>
      </w:pPr>
    </w:p>
    <w:p w14:paraId="3C0B330F" w14:textId="73D4C5B1" w:rsidR="0072760F" w:rsidRPr="00DC6BFD" w:rsidRDefault="0072760F" w:rsidP="00786E70">
      <w:pPr>
        <w:pStyle w:val="ListParagraph"/>
        <w:numPr>
          <w:ilvl w:val="0"/>
          <w:numId w:val="16"/>
        </w:numPr>
        <w:jc w:val="both"/>
        <w:rPr>
          <w:rFonts w:asciiTheme="majorHAnsi" w:hAnsiTheme="majorHAnsi"/>
          <w:sz w:val="23"/>
          <w:szCs w:val="23"/>
        </w:rPr>
      </w:pPr>
      <w:r w:rsidRPr="00DC6BFD">
        <w:rPr>
          <w:rFonts w:asciiTheme="majorHAnsi" w:hAnsiTheme="majorHAnsi"/>
          <w:sz w:val="23"/>
          <w:szCs w:val="23"/>
        </w:rPr>
        <w:t>Withdrawal of Set-Aside</w:t>
      </w:r>
    </w:p>
    <w:p w14:paraId="14B2A77C" w14:textId="77777777" w:rsidR="0072760F" w:rsidRPr="0072760F" w:rsidRDefault="0072760F" w:rsidP="00786E70">
      <w:pPr>
        <w:jc w:val="both"/>
        <w:rPr>
          <w:rFonts w:asciiTheme="majorHAnsi" w:hAnsiTheme="majorHAnsi"/>
          <w:sz w:val="23"/>
          <w:szCs w:val="23"/>
        </w:rPr>
      </w:pPr>
    </w:p>
    <w:p w14:paraId="3AE5E722" w14:textId="7D585117" w:rsidR="0072760F" w:rsidRPr="0072760F" w:rsidRDefault="0072760F" w:rsidP="00786E70">
      <w:pPr>
        <w:jc w:val="both"/>
        <w:rPr>
          <w:rFonts w:asciiTheme="majorHAnsi" w:hAnsiTheme="majorHAnsi"/>
          <w:sz w:val="23"/>
          <w:szCs w:val="23"/>
        </w:rPr>
      </w:pPr>
      <w:r w:rsidRPr="0072760F">
        <w:rPr>
          <w:rFonts w:asciiTheme="majorHAnsi" w:hAnsiTheme="majorHAnsi"/>
          <w:sz w:val="23"/>
          <w:szCs w:val="23"/>
        </w:rPr>
        <w:t xml:space="preserve">If the Chief Procurement Officer determines that acceptance of the best bid, proposal or response will result in the payment of an unreasonable price, the Chief Procurement Officer will reject all bids, proposals or responses and withdraw the designation of small business set-aside for the procurement in question.  When a small business set-aside is withdrawn, notification must be published as provided in Section 1400.1505 with an explanation.  After withdrawal of the small business set-aside, the procurement will be conducted in accordance with the requirements of </w:t>
      </w:r>
      <w:r w:rsidR="003257E0">
        <w:rPr>
          <w:rFonts w:asciiTheme="majorHAnsi" w:hAnsiTheme="majorHAnsi"/>
          <w:sz w:val="23"/>
          <w:szCs w:val="23"/>
        </w:rPr>
        <w:t>the Rules</w:t>
      </w:r>
      <w:r w:rsidRPr="0072760F">
        <w:rPr>
          <w:rFonts w:asciiTheme="majorHAnsi" w:hAnsiTheme="majorHAnsi"/>
          <w:sz w:val="23"/>
          <w:szCs w:val="23"/>
        </w:rPr>
        <w:t>.</w:t>
      </w:r>
      <w:r w:rsidR="00222E1D">
        <w:rPr>
          <w:rFonts w:asciiTheme="majorHAnsi" w:hAnsiTheme="majorHAnsi"/>
          <w:sz w:val="23"/>
          <w:szCs w:val="23"/>
        </w:rPr>
        <w:t xml:space="preserve"> 44 Ill. Adm. Code 1400.4560(c).</w:t>
      </w:r>
    </w:p>
    <w:p w14:paraId="22312595" w14:textId="77777777" w:rsidR="00915919" w:rsidRDefault="00915919" w:rsidP="00786E70">
      <w:pPr>
        <w:jc w:val="both"/>
        <w:rPr>
          <w:rFonts w:asciiTheme="majorHAnsi" w:hAnsiTheme="majorHAnsi"/>
          <w:sz w:val="23"/>
          <w:szCs w:val="23"/>
        </w:rPr>
      </w:pPr>
    </w:p>
    <w:p w14:paraId="21EBD14C" w14:textId="68872DA2" w:rsidR="00367ECF" w:rsidRPr="00DC6BFD" w:rsidRDefault="00367ECF" w:rsidP="00786E70">
      <w:pPr>
        <w:pStyle w:val="ListParagraph"/>
        <w:numPr>
          <w:ilvl w:val="0"/>
          <w:numId w:val="16"/>
        </w:numPr>
        <w:jc w:val="both"/>
        <w:rPr>
          <w:rFonts w:asciiTheme="majorHAnsi" w:hAnsiTheme="majorHAnsi"/>
          <w:sz w:val="23"/>
          <w:szCs w:val="23"/>
        </w:rPr>
      </w:pPr>
      <w:r w:rsidRPr="00DC6BFD">
        <w:rPr>
          <w:rFonts w:asciiTheme="majorHAnsi" w:hAnsiTheme="majorHAnsi"/>
          <w:sz w:val="23"/>
          <w:szCs w:val="23"/>
        </w:rPr>
        <w:t>Criteria for Small Business</w:t>
      </w:r>
    </w:p>
    <w:p w14:paraId="6EC923C7" w14:textId="77777777" w:rsidR="00367ECF" w:rsidRPr="00367ECF" w:rsidRDefault="00367ECF" w:rsidP="00786E70">
      <w:pPr>
        <w:jc w:val="both"/>
        <w:rPr>
          <w:rFonts w:asciiTheme="majorHAnsi" w:hAnsiTheme="majorHAnsi"/>
          <w:sz w:val="23"/>
          <w:szCs w:val="23"/>
        </w:rPr>
      </w:pPr>
    </w:p>
    <w:p w14:paraId="356E7AF6" w14:textId="77777777" w:rsidR="00367ECF" w:rsidRPr="00367ECF" w:rsidRDefault="00367ECF" w:rsidP="00786E70">
      <w:pPr>
        <w:jc w:val="both"/>
        <w:rPr>
          <w:rFonts w:asciiTheme="majorHAnsi" w:hAnsiTheme="majorHAnsi"/>
          <w:sz w:val="23"/>
          <w:szCs w:val="23"/>
        </w:rPr>
      </w:pPr>
      <w:r w:rsidRPr="00367ECF">
        <w:rPr>
          <w:rFonts w:asciiTheme="majorHAnsi" w:hAnsiTheme="majorHAnsi"/>
          <w:sz w:val="23"/>
          <w:szCs w:val="23"/>
        </w:rPr>
        <w:t>Unless the Chief Procurement Officer provides a definition for a particular procurement that reflects industrial characteristics, a small business is one:</w:t>
      </w:r>
    </w:p>
    <w:p w14:paraId="72DFC5A2" w14:textId="77777777" w:rsidR="00367ECF" w:rsidRPr="00367ECF" w:rsidRDefault="00367ECF" w:rsidP="00786E70">
      <w:pPr>
        <w:jc w:val="both"/>
        <w:rPr>
          <w:rFonts w:asciiTheme="majorHAnsi" w:hAnsiTheme="majorHAnsi"/>
          <w:sz w:val="23"/>
          <w:szCs w:val="23"/>
        </w:rPr>
      </w:pPr>
    </w:p>
    <w:p w14:paraId="0DADC301" w14:textId="553D44B9" w:rsidR="00367ECF" w:rsidRPr="00FE1E88" w:rsidRDefault="00367ECF" w:rsidP="00D327DD">
      <w:pPr>
        <w:pStyle w:val="ListParagraph"/>
        <w:numPr>
          <w:ilvl w:val="0"/>
          <w:numId w:val="14"/>
        </w:numPr>
        <w:ind w:right="360"/>
        <w:jc w:val="both"/>
        <w:rPr>
          <w:rFonts w:asciiTheme="majorHAnsi" w:hAnsiTheme="majorHAnsi"/>
          <w:sz w:val="23"/>
          <w:szCs w:val="23"/>
        </w:rPr>
      </w:pPr>
      <w:r w:rsidRPr="00FE1E88">
        <w:rPr>
          <w:rFonts w:asciiTheme="majorHAnsi" w:hAnsiTheme="majorHAnsi"/>
          <w:sz w:val="23"/>
          <w:szCs w:val="23"/>
        </w:rPr>
        <w:t>Independently owned and operated.</w:t>
      </w:r>
    </w:p>
    <w:p w14:paraId="64B02EAD" w14:textId="77777777" w:rsidR="00367ECF" w:rsidRPr="00367ECF" w:rsidRDefault="00367ECF" w:rsidP="00D327DD">
      <w:pPr>
        <w:ind w:right="360"/>
        <w:jc w:val="both"/>
        <w:rPr>
          <w:rFonts w:asciiTheme="majorHAnsi" w:hAnsiTheme="majorHAnsi"/>
          <w:sz w:val="23"/>
          <w:szCs w:val="23"/>
        </w:rPr>
      </w:pPr>
    </w:p>
    <w:p w14:paraId="55FB8DD8" w14:textId="402BE1A8" w:rsidR="00367ECF" w:rsidRPr="00FE1E88" w:rsidRDefault="00367ECF" w:rsidP="00D327DD">
      <w:pPr>
        <w:pStyle w:val="ListParagraph"/>
        <w:numPr>
          <w:ilvl w:val="0"/>
          <w:numId w:val="14"/>
        </w:numPr>
        <w:ind w:right="360"/>
        <w:jc w:val="both"/>
        <w:rPr>
          <w:rFonts w:asciiTheme="majorHAnsi" w:hAnsiTheme="majorHAnsi"/>
          <w:sz w:val="23"/>
          <w:szCs w:val="23"/>
        </w:rPr>
      </w:pPr>
      <w:r w:rsidRPr="00FE1E88">
        <w:rPr>
          <w:rFonts w:asciiTheme="majorHAnsi" w:hAnsiTheme="majorHAnsi"/>
          <w:sz w:val="23"/>
          <w:szCs w:val="23"/>
        </w:rPr>
        <w:t xml:space="preserve">Not dominant in its field of operations.  This means the business does not exercise a controlling or major influence in a kind of business activity in which </w:t>
      </w:r>
      <w:proofErr w:type="gramStart"/>
      <w:r w:rsidRPr="00FE1E88">
        <w:rPr>
          <w:rFonts w:asciiTheme="majorHAnsi" w:hAnsiTheme="majorHAnsi"/>
          <w:sz w:val="23"/>
          <w:szCs w:val="23"/>
        </w:rPr>
        <w:t>a number of</w:t>
      </w:r>
      <w:proofErr w:type="gramEnd"/>
      <w:r w:rsidRPr="00FE1E88">
        <w:rPr>
          <w:rFonts w:asciiTheme="majorHAnsi" w:hAnsiTheme="majorHAnsi"/>
          <w:sz w:val="23"/>
          <w:szCs w:val="23"/>
        </w:rPr>
        <w:t xml:space="preserve"> business concerns are primarily engaged. In determining dominance, consideration must be given to all appropriate factors, including volume of business, number of employees, financial resources, competitive status or position, ownership or control of materials, processes, patents, license agreements, facilities, sales territory, and nature of business activity.</w:t>
      </w:r>
    </w:p>
    <w:p w14:paraId="75D3E978" w14:textId="77777777" w:rsidR="00367ECF" w:rsidRPr="00367ECF" w:rsidRDefault="00367ECF" w:rsidP="00D327DD">
      <w:pPr>
        <w:ind w:right="360"/>
        <w:jc w:val="both"/>
        <w:rPr>
          <w:rFonts w:asciiTheme="majorHAnsi" w:hAnsiTheme="majorHAnsi"/>
          <w:sz w:val="23"/>
          <w:szCs w:val="23"/>
        </w:rPr>
      </w:pPr>
    </w:p>
    <w:p w14:paraId="5DB091E2" w14:textId="0C2F1117" w:rsidR="00367ECF" w:rsidRPr="00FE1E88" w:rsidRDefault="00367ECF" w:rsidP="00D327DD">
      <w:pPr>
        <w:pStyle w:val="ListParagraph"/>
        <w:numPr>
          <w:ilvl w:val="0"/>
          <w:numId w:val="14"/>
        </w:numPr>
        <w:ind w:right="360"/>
        <w:jc w:val="both"/>
        <w:rPr>
          <w:rFonts w:asciiTheme="majorHAnsi" w:hAnsiTheme="majorHAnsi"/>
          <w:sz w:val="23"/>
          <w:szCs w:val="23"/>
        </w:rPr>
      </w:pPr>
      <w:r w:rsidRPr="00FE1E88">
        <w:rPr>
          <w:rFonts w:asciiTheme="majorHAnsi" w:hAnsiTheme="majorHAnsi"/>
          <w:sz w:val="23"/>
          <w:szCs w:val="23"/>
        </w:rPr>
        <w:t>With annual sales for the most recently ended fiscal year no greater than:</w:t>
      </w:r>
    </w:p>
    <w:p w14:paraId="59D97D84" w14:textId="77777777" w:rsidR="00367ECF" w:rsidRPr="00367ECF" w:rsidRDefault="00367ECF" w:rsidP="00786E70">
      <w:pPr>
        <w:jc w:val="both"/>
        <w:rPr>
          <w:rFonts w:asciiTheme="majorHAnsi" w:hAnsiTheme="majorHAnsi"/>
          <w:sz w:val="23"/>
          <w:szCs w:val="23"/>
        </w:rPr>
      </w:pPr>
    </w:p>
    <w:p w14:paraId="26B23ED1" w14:textId="3C9DC8D9" w:rsidR="00367ECF" w:rsidRPr="00786E70" w:rsidRDefault="00367ECF" w:rsidP="00786E70">
      <w:pPr>
        <w:pStyle w:val="ListParagraph"/>
        <w:numPr>
          <w:ilvl w:val="0"/>
          <w:numId w:val="17"/>
        </w:numPr>
        <w:ind w:left="1440"/>
        <w:jc w:val="both"/>
        <w:rPr>
          <w:rFonts w:asciiTheme="majorHAnsi" w:hAnsiTheme="majorHAnsi"/>
          <w:sz w:val="23"/>
          <w:szCs w:val="23"/>
        </w:rPr>
      </w:pPr>
      <w:r w:rsidRPr="00786E70">
        <w:rPr>
          <w:rFonts w:asciiTheme="majorHAnsi" w:hAnsiTheme="majorHAnsi"/>
          <w:sz w:val="23"/>
          <w:szCs w:val="23"/>
        </w:rPr>
        <w:t xml:space="preserve">$13,000,000 for wholesale </w:t>
      </w:r>
      <w:proofErr w:type="gramStart"/>
      <w:r w:rsidRPr="00786E70">
        <w:rPr>
          <w:rFonts w:asciiTheme="majorHAnsi" w:hAnsiTheme="majorHAnsi"/>
          <w:sz w:val="23"/>
          <w:szCs w:val="23"/>
        </w:rPr>
        <w:t>business;</w:t>
      </w:r>
      <w:proofErr w:type="gramEnd"/>
    </w:p>
    <w:p w14:paraId="1F209F7C" w14:textId="77777777" w:rsidR="00367ECF" w:rsidRPr="00367ECF" w:rsidRDefault="00367ECF" w:rsidP="00786E70">
      <w:pPr>
        <w:ind w:left="1440"/>
        <w:jc w:val="both"/>
        <w:rPr>
          <w:rFonts w:asciiTheme="majorHAnsi" w:hAnsiTheme="majorHAnsi"/>
          <w:sz w:val="23"/>
          <w:szCs w:val="23"/>
        </w:rPr>
      </w:pPr>
    </w:p>
    <w:p w14:paraId="0C8162F5" w14:textId="056CDE6E" w:rsidR="00367ECF" w:rsidRPr="00786E70" w:rsidRDefault="00367ECF" w:rsidP="00786E70">
      <w:pPr>
        <w:pStyle w:val="ListParagraph"/>
        <w:numPr>
          <w:ilvl w:val="0"/>
          <w:numId w:val="17"/>
        </w:numPr>
        <w:ind w:left="1440"/>
        <w:jc w:val="both"/>
        <w:rPr>
          <w:rFonts w:asciiTheme="majorHAnsi" w:hAnsiTheme="majorHAnsi"/>
          <w:sz w:val="23"/>
          <w:szCs w:val="23"/>
        </w:rPr>
      </w:pPr>
      <w:r w:rsidRPr="00786E70">
        <w:rPr>
          <w:rFonts w:asciiTheme="majorHAnsi" w:hAnsiTheme="majorHAnsi"/>
          <w:sz w:val="23"/>
          <w:szCs w:val="23"/>
        </w:rPr>
        <w:t>$8,000,000 for retail business or businesses selling services; or</w:t>
      </w:r>
    </w:p>
    <w:p w14:paraId="01807EB4" w14:textId="4A9FF6D9" w:rsidR="00367ECF" w:rsidRPr="00367ECF" w:rsidRDefault="00367ECF" w:rsidP="00786E70">
      <w:pPr>
        <w:ind w:left="1440"/>
        <w:jc w:val="both"/>
        <w:rPr>
          <w:rFonts w:asciiTheme="majorHAnsi" w:hAnsiTheme="majorHAnsi"/>
          <w:sz w:val="23"/>
          <w:szCs w:val="23"/>
        </w:rPr>
      </w:pPr>
    </w:p>
    <w:p w14:paraId="39896D3F" w14:textId="7AB1789B" w:rsidR="00367ECF" w:rsidRPr="00786E70" w:rsidRDefault="00367ECF" w:rsidP="00786E70">
      <w:pPr>
        <w:pStyle w:val="ListParagraph"/>
        <w:numPr>
          <w:ilvl w:val="0"/>
          <w:numId w:val="17"/>
        </w:numPr>
        <w:ind w:left="1440"/>
        <w:jc w:val="both"/>
        <w:rPr>
          <w:rFonts w:asciiTheme="majorHAnsi" w:hAnsiTheme="majorHAnsi"/>
          <w:sz w:val="23"/>
          <w:szCs w:val="23"/>
        </w:rPr>
      </w:pPr>
      <w:r w:rsidRPr="00786E70">
        <w:rPr>
          <w:rFonts w:asciiTheme="majorHAnsi" w:hAnsiTheme="majorHAnsi"/>
          <w:sz w:val="23"/>
          <w:szCs w:val="23"/>
        </w:rPr>
        <w:t>$14,000,000 for construction business.</w:t>
      </w:r>
    </w:p>
    <w:p w14:paraId="6830EA05" w14:textId="77777777" w:rsidR="00367ECF" w:rsidRPr="00367ECF" w:rsidRDefault="00367ECF" w:rsidP="00786E70">
      <w:pPr>
        <w:jc w:val="both"/>
        <w:rPr>
          <w:rFonts w:asciiTheme="majorHAnsi" w:hAnsiTheme="majorHAnsi"/>
          <w:sz w:val="23"/>
          <w:szCs w:val="23"/>
        </w:rPr>
      </w:pPr>
    </w:p>
    <w:p w14:paraId="115AF9FA" w14:textId="33A5BDD2" w:rsidR="00717D61" w:rsidRDefault="00717D61" w:rsidP="00D327DD">
      <w:pPr>
        <w:pStyle w:val="ListParagraph"/>
        <w:numPr>
          <w:ilvl w:val="0"/>
          <w:numId w:val="14"/>
        </w:numPr>
        <w:ind w:right="360"/>
        <w:jc w:val="both"/>
        <w:rPr>
          <w:rFonts w:asciiTheme="majorHAnsi" w:hAnsiTheme="majorHAnsi"/>
          <w:sz w:val="23"/>
          <w:szCs w:val="23"/>
        </w:rPr>
      </w:pPr>
      <w:r w:rsidRPr="00367ECF">
        <w:rPr>
          <w:rFonts w:asciiTheme="majorHAnsi" w:hAnsiTheme="majorHAnsi"/>
          <w:sz w:val="23"/>
          <w:szCs w:val="23"/>
        </w:rPr>
        <w:t>With no more than 250 employees if a manufacturing business.</w:t>
      </w:r>
    </w:p>
    <w:p w14:paraId="6EF437E3" w14:textId="77777777" w:rsidR="00717D61" w:rsidRPr="00FE1E88" w:rsidRDefault="00717D61" w:rsidP="00786E70">
      <w:pPr>
        <w:pStyle w:val="ListParagraph"/>
        <w:ind w:left="1080"/>
        <w:jc w:val="both"/>
        <w:rPr>
          <w:rFonts w:asciiTheme="majorHAnsi" w:hAnsiTheme="majorHAnsi"/>
          <w:sz w:val="23"/>
          <w:szCs w:val="23"/>
        </w:rPr>
      </w:pPr>
    </w:p>
    <w:p w14:paraId="455790EE" w14:textId="194BB666" w:rsidR="00367ECF" w:rsidRPr="00FE1E88" w:rsidRDefault="00367ECF" w:rsidP="00D327DD">
      <w:pPr>
        <w:pStyle w:val="ListParagraph"/>
        <w:numPr>
          <w:ilvl w:val="3"/>
          <w:numId w:val="14"/>
        </w:numPr>
        <w:ind w:left="1440" w:right="720"/>
        <w:jc w:val="both"/>
        <w:rPr>
          <w:rFonts w:asciiTheme="majorHAnsi" w:hAnsiTheme="majorHAnsi"/>
          <w:sz w:val="23"/>
          <w:szCs w:val="23"/>
        </w:rPr>
      </w:pPr>
      <w:r w:rsidRPr="00FE1E88">
        <w:rPr>
          <w:rFonts w:asciiTheme="majorHAnsi" w:hAnsiTheme="majorHAnsi"/>
          <w:sz w:val="23"/>
          <w:szCs w:val="23"/>
        </w:rPr>
        <w:t xml:space="preserve">A manufacturing business must calculate how many people it employs by determining its average full-time equivalent employment, based on the number of persons employed on a full-time, part-time, </w:t>
      </w:r>
      <w:proofErr w:type="gramStart"/>
      <w:r w:rsidRPr="00FE1E88">
        <w:rPr>
          <w:rFonts w:asciiTheme="majorHAnsi" w:hAnsiTheme="majorHAnsi"/>
          <w:sz w:val="23"/>
          <w:szCs w:val="23"/>
        </w:rPr>
        <w:t>temporary</w:t>
      </w:r>
      <w:proofErr w:type="gramEnd"/>
      <w:r w:rsidRPr="00FE1E88">
        <w:rPr>
          <w:rFonts w:asciiTheme="majorHAnsi" w:hAnsiTheme="majorHAnsi"/>
          <w:sz w:val="23"/>
          <w:szCs w:val="23"/>
        </w:rPr>
        <w:t xml:space="preserve"> or other basis for its most recently ended fiscal year.</w:t>
      </w:r>
    </w:p>
    <w:p w14:paraId="3BFBAC71" w14:textId="77777777" w:rsidR="00367ECF" w:rsidRPr="00367ECF" w:rsidRDefault="00367ECF" w:rsidP="00D327DD">
      <w:pPr>
        <w:ind w:left="1440" w:right="720"/>
        <w:jc w:val="both"/>
        <w:rPr>
          <w:rFonts w:asciiTheme="majorHAnsi" w:hAnsiTheme="majorHAnsi"/>
          <w:sz w:val="23"/>
          <w:szCs w:val="23"/>
        </w:rPr>
      </w:pPr>
    </w:p>
    <w:p w14:paraId="411338E7" w14:textId="7D675D3C" w:rsidR="00367ECF" w:rsidRPr="00FE1E88" w:rsidRDefault="00367ECF" w:rsidP="00D327DD">
      <w:pPr>
        <w:pStyle w:val="ListParagraph"/>
        <w:numPr>
          <w:ilvl w:val="3"/>
          <w:numId w:val="14"/>
        </w:numPr>
        <w:ind w:left="1440" w:right="720"/>
        <w:jc w:val="both"/>
        <w:rPr>
          <w:rFonts w:asciiTheme="majorHAnsi" w:hAnsiTheme="majorHAnsi"/>
          <w:sz w:val="23"/>
          <w:szCs w:val="23"/>
        </w:rPr>
      </w:pPr>
      <w:r w:rsidRPr="00FE1E88">
        <w:rPr>
          <w:rFonts w:asciiTheme="majorHAnsi" w:hAnsiTheme="majorHAnsi"/>
          <w:sz w:val="23"/>
          <w:szCs w:val="23"/>
        </w:rPr>
        <w:t>If a manufacturing business has been in existence for less than a full fiscal year, its average employment should be calculated for the period that it has been in existence.</w:t>
      </w:r>
    </w:p>
    <w:p w14:paraId="1199939D" w14:textId="77777777" w:rsidR="00367ECF" w:rsidRPr="00367ECF" w:rsidRDefault="00367ECF" w:rsidP="00786E70">
      <w:pPr>
        <w:jc w:val="both"/>
        <w:rPr>
          <w:rFonts w:asciiTheme="majorHAnsi" w:hAnsiTheme="majorHAnsi"/>
          <w:sz w:val="23"/>
          <w:szCs w:val="23"/>
        </w:rPr>
      </w:pPr>
    </w:p>
    <w:p w14:paraId="4BC0ADCC" w14:textId="084FEDED" w:rsidR="00367ECF" w:rsidRPr="00FE1E88" w:rsidRDefault="00367ECF" w:rsidP="00D327DD">
      <w:pPr>
        <w:pStyle w:val="ListParagraph"/>
        <w:numPr>
          <w:ilvl w:val="0"/>
          <w:numId w:val="14"/>
        </w:numPr>
        <w:ind w:right="360"/>
        <w:jc w:val="both"/>
        <w:rPr>
          <w:rFonts w:asciiTheme="majorHAnsi" w:hAnsiTheme="majorHAnsi"/>
          <w:sz w:val="23"/>
          <w:szCs w:val="23"/>
        </w:rPr>
      </w:pPr>
      <w:r w:rsidRPr="00FE1E88">
        <w:rPr>
          <w:rFonts w:asciiTheme="majorHAnsi" w:hAnsiTheme="majorHAnsi"/>
          <w:sz w:val="23"/>
          <w:szCs w:val="23"/>
        </w:rPr>
        <w:lastRenderedPageBreak/>
        <w:t>If both a wholesaler and a retailer, the combined wholesale and retail annual sales for its most recently completed fiscal year may not exceed $16,000,000.  The retail component may not exceed $6,000,000 and the wholesale component may not exceed $10,000,000.</w:t>
      </w:r>
    </w:p>
    <w:p w14:paraId="39D85B0E" w14:textId="77777777" w:rsidR="00367ECF" w:rsidRPr="00367ECF" w:rsidRDefault="00367ECF" w:rsidP="00D327DD">
      <w:pPr>
        <w:ind w:right="360"/>
        <w:jc w:val="both"/>
        <w:rPr>
          <w:rFonts w:asciiTheme="majorHAnsi" w:hAnsiTheme="majorHAnsi"/>
          <w:sz w:val="23"/>
          <w:szCs w:val="23"/>
        </w:rPr>
      </w:pPr>
    </w:p>
    <w:p w14:paraId="21FD4328" w14:textId="12C1B6E1" w:rsidR="0075597C" w:rsidRPr="00786E70" w:rsidRDefault="00367ECF" w:rsidP="00D327DD">
      <w:pPr>
        <w:pStyle w:val="ListParagraph"/>
        <w:numPr>
          <w:ilvl w:val="0"/>
          <w:numId w:val="14"/>
        </w:numPr>
        <w:ind w:right="360"/>
        <w:jc w:val="both"/>
        <w:rPr>
          <w:rFonts w:asciiTheme="majorHAnsi" w:hAnsiTheme="majorHAnsi"/>
          <w:sz w:val="23"/>
          <w:szCs w:val="23"/>
          <w:u w:val="single"/>
        </w:rPr>
      </w:pPr>
      <w:r w:rsidRPr="007B2279">
        <w:rPr>
          <w:rFonts w:asciiTheme="majorHAnsi" w:hAnsiTheme="majorHAnsi"/>
          <w:sz w:val="23"/>
          <w:szCs w:val="23"/>
        </w:rPr>
        <w:t xml:space="preserve">When computing the size status of a vendor, the number of employees and annual sales and receipts, as applicable, of the vendor and all affiliates must be included.  Concerns are affiliates when either one directly or indirectly control or have the power to control the other, or when a third party or </w:t>
      </w:r>
      <w:proofErr w:type="gramStart"/>
      <w:r w:rsidRPr="007B2279">
        <w:rPr>
          <w:rFonts w:asciiTheme="majorHAnsi" w:hAnsiTheme="majorHAnsi"/>
          <w:sz w:val="23"/>
          <w:szCs w:val="23"/>
        </w:rPr>
        <w:t>parties</w:t>
      </w:r>
      <w:proofErr w:type="gramEnd"/>
      <w:r w:rsidRPr="007B2279">
        <w:rPr>
          <w:rFonts w:asciiTheme="majorHAnsi" w:hAnsiTheme="majorHAnsi"/>
          <w:sz w:val="23"/>
          <w:szCs w:val="23"/>
        </w:rPr>
        <w:t xml:space="preserve"> control or have the power to control both.  In determining whether concerns are independently owned and operated and </w:t>
      </w:r>
      <w:proofErr w:type="gramStart"/>
      <w:r w:rsidRPr="007B2279">
        <w:rPr>
          <w:rFonts w:asciiTheme="majorHAnsi" w:hAnsiTheme="majorHAnsi"/>
          <w:sz w:val="23"/>
          <w:szCs w:val="23"/>
        </w:rPr>
        <w:t>whether or not</w:t>
      </w:r>
      <w:proofErr w:type="gramEnd"/>
      <w:r w:rsidRPr="007B2279">
        <w:rPr>
          <w:rFonts w:asciiTheme="majorHAnsi" w:hAnsiTheme="majorHAnsi"/>
          <w:sz w:val="23"/>
          <w:szCs w:val="23"/>
        </w:rPr>
        <w:t xml:space="preserve"> affiliation exists, consideration must be given to all appropriate factors, including use of common facilities, common ownership and management and contractual arrangements.  However, a franchise relationship does not affect small business status if the franchise has the right to profit commensurate with ownership and bears the risk of loss or failure.</w:t>
      </w:r>
      <w:r w:rsidR="00745184" w:rsidRPr="007B2279">
        <w:rPr>
          <w:rFonts w:asciiTheme="majorHAnsi" w:hAnsiTheme="majorHAnsi"/>
          <w:sz w:val="23"/>
          <w:szCs w:val="23"/>
        </w:rPr>
        <w:t xml:space="preserve"> </w:t>
      </w:r>
      <w:bookmarkEnd w:id="0"/>
    </w:p>
    <w:p w14:paraId="2C91888B" w14:textId="2C3162C3" w:rsidR="00222E1D" w:rsidRDefault="00222E1D" w:rsidP="00D327DD">
      <w:pPr>
        <w:pStyle w:val="ListParagraph"/>
        <w:ind w:left="1080" w:right="360"/>
        <w:jc w:val="both"/>
        <w:rPr>
          <w:rFonts w:asciiTheme="majorHAnsi" w:hAnsiTheme="majorHAnsi"/>
          <w:sz w:val="23"/>
          <w:szCs w:val="23"/>
        </w:rPr>
      </w:pPr>
      <w:r>
        <w:rPr>
          <w:rFonts w:asciiTheme="majorHAnsi" w:hAnsiTheme="majorHAnsi"/>
          <w:sz w:val="23"/>
          <w:szCs w:val="23"/>
        </w:rPr>
        <w:t>44 Ill. Adm. Code 1400.4560(d).</w:t>
      </w:r>
    </w:p>
    <w:p w14:paraId="5D2D90D8" w14:textId="381AA9A7" w:rsidR="00A401D9" w:rsidRDefault="00A401D9" w:rsidP="00786E70">
      <w:pPr>
        <w:pStyle w:val="ListParagraph"/>
        <w:ind w:left="0"/>
        <w:jc w:val="both"/>
        <w:rPr>
          <w:rFonts w:asciiTheme="majorHAnsi" w:hAnsiTheme="majorHAnsi"/>
          <w:sz w:val="23"/>
          <w:szCs w:val="23"/>
        </w:rPr>
      </w:pPr>
    </w:p>
    <w:p w14:paraId="71EB36D1" w14:textId="39CE8E78" w:rsidR="00A401D9" w:rsidRPr="007B2279" w:rsidRDefault="00A401D9" w:rsidP="00786E70">
      <w:pPr>
        <w:pStyle w:val="ListParagraph"/>
        <w:ind w:left="0"/>
        <w:jc w:val="both"/>
        <w:rPr>
          <w:rFonts w:asciiTheme="majorHAnsi" w:hAnsiTheme="majorHAnsi"/>
          <w:sz w:val="23"/>
          <w:szCs w:val="23"/>
          <w:u w:val="single"/>
        </w:rPr>
      </w:pPr>
      <w:r>
        <w:rPr>
          <w:rFonts w:asciiTheme="majorHAnsi" w:hAnsiTheme="majorHAnsi"/>
          <w:sz w:val="23"/>
          <w:szCs w:val="23"/>
        </w:rPr>
        <w:t xml:space="preserve">To this end, the Treasurer’s Office </w:t>
      </w:r>
      <w:r w:rsidR="000520D7">
        <w:rPr>
          <w:rFonts w:asciiTheme="majorHAnsi" w:hAnsiTheme="majorHAnsi"/>
          <w:sz w:val="23"/>
          <w:szCs w:val="23"/>
        </w:rPr>
        <w:t>may</w:t>
      </w:r>
      <w:r>
        <w:rPr>
          <w:rFonts w:asciiTheme="majorHAnsi" w:hAnsiTheme="majorHAnsi"/>
          <w:sz w:val="23"/>
          <w:szCs w:val="23"/>
        </w:rPr>
        <w:t xml:space="preserve"> further define, for the purposes of its procurements, which may even vary by solicitation, the appropriate definition of “small business.”  The Treasurer’s Office </w:t>
      </w:r>
      <w:r w:rsidR="0040648E">
        <w:rPr>
          <w:rFonts w:asciiTheme="majorHAnsi" w:hAnsiTheme="majorHAnsi"/>
          <w:sz w:val="23"/>
          <w:szCs w:val="23"/>
        </w:rPr>
        <w:t>holds contracts procured in prior fiscal year</w:t>
      </w:r>
      <w:r w:rsidR="003257E0">
        <w:rPr>
          <w:rFonts w:asciiTheme="majorHAnsi" w:hAnsiTheme="majorHAnsi"/>
          <w:sz w:val="23"/>
          <w:szCs w:val="23"/>
        </w:rPr>
        <w:t>s</w:t>
      </w:r>
      <w:r w:rsidR="0040648E">
        <w:rPr>
          <w:rFonts w:asciiTheme="majorHAnsi" w:hAnsiTheme="majorHAnsi"/>
          <w:sz w:val="23"/>
          <w:szCs w:val="23"/>
        </w:rPr>
        <w:t xml:space="preserve"> as a small business set </w:t>
      </w:r>
      <w:proofErr w:type="gramStart"/>
      <w:r w:rsidR="0040648E">
        <w:rPr>
          <w:rFonts w:asciiTheme="majorHAnsi" w:hAnsiTheme="majorHAnsi"/>
          <w:sz w:val="23"/>
          <w:szCs w:val="23"/>
        </w:rPr>
        <w:t>aside, but</w:t>
      </w:r>
      <w:proofErr w:type="gramEnd"/>
      <w:r w:rsidR="0040648E">
        <w:rPr>
          <w:rFonts w:asciiTheme="majorHAnsi" w:hAnsiTheme="majorHAnsi"/>
          <w:sz w:val="23"/>
          <w:szCs w:val="23"/>
        </w:rPr>
        <w:t xml:space="preserve"> did not identify any small business set aside opportunities among public solicitations issued in Fiscal Year 2022</w:t>
      </w:r>
      <w:r>
        <w:rPr>
          <w:rFonts w:asciiTheme="majorHAnsi" w:hAnsiTheme="majorHAnsi"/>
          <w:sz w:val="23"/>
          <w:szCs w:val="23"/>
        </w:rPr>
        <w:t>.</w:t>
      </w:r>
    </w:p>
    <w:p w14:paraId="440341B2" w14:textId="77777777" w:rsidR="00C101FB" w:rsidRPr="00C7449F" w:rsidRDefault="00C101FB" w:rsidP="00526963">
      <w:pPr>
        <w:rPr>
          <w:rFonts w:asciiTheme="majorHAnsi" w:hAnsiTheme="majorHAnsi"/>
          <w:sz w:val="28"/>
          <w:szCs w:val="28"/>
        </w:rPr>
      </w:pPr>
    </w:p>
    <w:tbl>
      <w:tblPr>
        <w:tblW w:w="0" w:type="auto"/>
        <w:tblBorders>
          <w:top w:val="double" w:sz="4" w:space="0" w:color="auto"/>
          <w:bottom w:val="double" w:sz="4" w:space="0" w:color="auto"/>
        </w:tblBorders>
        <w:shd w:val="clear" w:color="auto" w:fill="FFFFFF" w:themeFill="background1"/>
        <w:tblLook w:val="04A0" w:firstRow="1" w:lastRow="0" w:firstColumn="1" w:lastColumn="0" w:noHBand="0" w:noVBand="1"/>
      </w:tblPr>
      <w:tblGrid>
        <w:gridCol w:w="9360"/>
      </w:tblGrid>
      <w:tr w:rsidR="00126FF6" w:rsidRPr="00954179" w14:paraId="70DDFA01" w14:textId="77777777" w:rsidTr="007B2279">
        <w:trPr>
          <w:trHeight w:val="335"/>
        </w:trPr>
        <w:tc>
          <w:tcPr>
            <w:tcW w:w="9360" w:type="dxa"/>
            <w:shd w:val="clear" w:color="auto" w:fill="FFFFFF" w:themeFill="background1"/>
            <w:vAlign w:val="bottom"/>
          </w:tcPr>
          <w:p w14:paraId="4BFC2B38" w14:textId="77777777" w:rsidR="00126FF6" w:rsidRPr="00954179" w:rsidRDefault="00126FF6" w:rsidP="007C255F">
            <w:pPr>
              <w:pStyle w:val="Subtitle"/>
              <w:jc w:val="left"/>
              <w:rPr>
                <w:rFonts w:asciiTheme="majorHAnsi" w:hAnsiTheme="majorHAnsi"/>
                <w:color w:val="000000" w:themeColor="text1"/>
                <w:sz w:val="24"/>
                <w:szCs w:val="24"/>
              </w:rPr>
            </w:pPr>
          </w:p>
          <w:p w14:paraId="2412F037" w14:textId="25619875" w:rsidR="00126FF6" w:rsidRDefault="00B24779" w:rsidP="00126FF6">
            <w:pPr>
              <w:pStyle w:val="Subtitle"/>
              <w:rPr>
                <w:rFonts w:asciiTheme="majorHAnsi" w:hAnsiTheme="majorHAnsi"/>
                <w:color w:val="000000" w:themeColor="text1"/>
                <w:sz w:val="24"/>
                <w:szCs w:val="24"/>
              </w:rPr>
            </w:pPr>
            <w:r>
              <w:rPr>
                <w:rFonts w:asciiTheme="majorHAnsi" w:hAnsiTheme="majorHAnsi"/>
                <w:color w:val="000000" w:themeColor="text1"/>
                <w:sz w:val="24"/>
                <w:szCs w:val="24"/>
              </w:rPr>
              <w:t xml:space="preserve">Utilization </w:t>
            </w:r>
            <w:r w:rsidR="004C27BE">
              <w:rPr>
                <w:rFonts w:asciiTheme="majorHAnsi" w:hAnsiTheme="majorHAnsi"/>
                <w:color w:val="000000" w:themeColor="text1"/>
                <w:sz w:val="24"/>
                <w:szCs w:val="24"/>
              </w:rPr>
              <w:t>Data</w:t>
            </w:r>
            <w:r w:rsidR="005B74A5">
              <w:rPr>
                <w:rFonts w:asciiTheme="majorHAnsi" w:hAnsiTheme="majorHAnsi"/>
                <w:color w:val="000000" w:themeColor="text1"/>
                <w:sz w:val="24"/>
                <w:szCs w:val="24"/>
              </w:rPr>
              <w:t xml:space="preserve"> and Implementation</w:t>
            </w:r>
          </w:p>
          <w:p w14:paraId="059644E7" w14:textId="77777777" w:rsidR="00126FF6" w:rsidRPr="00954179" w:rsidRDefault="00126FF6" w:rsidP="007C255F">
            <w:pPr>
              <w:pStyle w:val="Subtitle"/>
              <w:jc w:val="left"/>
              <w:rPr>
                <w:rFonts w:asciiTheme="majorHAnsi" w:hAnsiTheme="majorHAnsi"/>
                <w:color w:val="000000" w:themeColor="text1"/>
                <w:sz w:val="24"/>
                <w:szCs w:val="24"/>
              </w:rPr>
            </w:pPr>
          </w:p>
        </w:tc>
      </w:tr>
    </w:tbl>
    <w:p w14:paraId="54598A1F" w14:textId="77777777" w:rsidR="007B2279" w:rsidRDefault="007B2279" w:rsidP="007B2279">
      <w:pPr>
        <w:rPr>
          <w:rFonts w:asciiTheme="majorHAnsi" w:hAnsiTheme="majorHAnsi"/>
          <w:sz w:val="23"/>
          <w:szCs w:val="23"/>
        </w:rPr>
      </w:pPr>
    </w:p>
    <w:p w14:paraId="29CD7484" w14:textId="1E869CF4" w:rsidR="00222E1D" w:rsidRDefault="007B2279" w:rsidP="00786E70">
      <w:pPr>
        <w:jc w:val="both"/>
        <w:rPr>
          <w:rFonts w:asciiTheme="majorHAnsi" w:hAnsiTheme="majorHAnsi"/>
          <w:sz w:val="23"/>
          <w:szCs w:val="23"/>
        </w:rPr>
      </w:pPr>
      <w:r>
        <w:rPr>
          <w:rFonts w:asciiTheme="majorHAnsi" w:hAnsiTheme="majorHAnsi"/>
          <w:sz w:val="23"/>
          <w:szCs w:val="23"/>
        </w:rPr>
        <w:t>As noted, the Chief Procurement Officer currently</w:t>
      </w:r>
      <w:r w:rsidRPr="00A37C94">
        <w:t xml:space="preserve"> </w:t>
      </w:r>
      <w:r w:rsidRPr="00A37C94">
        <w:rPr>
          <w:rFonts w:asciiTheme="majorHAnsi" w:hAnsiTheme="majorHAnsi"/>
          <w:sz w:val="23"/>
          <w:szCs w:val="23"/>
        </w:rPr>
        <w:t>may designate as small business set-asides a fair proportion of contracts for the provision of goods and services for award to small businesses in Illinois</w:t>
      </w:r>
      <w:r>
        <w:rPr>
          <w:rFonts w:asciiTheme="majorHAnsi" w:hAnsiTheme="majorHAnsi"/>
          <w:sz w:val="23"/>
          <w:szCs w:val="23"/>
        </w:rPr>
        <w:t xml:space="preserve">. </w:t>
      </w:r>
      <w:r w:rsidR="0040648E">
        <w:rPr>
          <w:rFonts w:asciiTheme="majorHAnsi" w:hAnsiTheme="majorHAnsi"/>
          <w:sz w:val="23"/>
          <w:szCs w:val="23"/>
        </w:rPr>
        <w:t>T</w:t>
      </w:r>
      <w:r w:rsidR="00222E1D">
        <w:rPr>
          <w:rFonts w:asciiTheme="majorHAnsi" w:hAnsiTheme="majorHAnsi"/>
          <w:sz w:val="23"/>
          <w:szCs w:val="23"/>
        </w:rPr>
        <w:t xml:space="preserve">he Treasurer’s Office </w:t>
      </w:r>
      <w:r w:rsidR="0040648E">
        <w:rPr>
          <w:rFonts w:asciiTheme="majorHAnsi" w:hAnsiTheme="majorHAnsi"/>
          <w:sz w:val="23"/>
          <w:szCs w:val="23"/>
        </w:rPr>
        <w:t xml:space="preserve">previously issued </w:t>
      </w:r>
      <w:r w:rsidR="002778DF">
        <w:rPr>
          <w:rFonts w:asciiTheme="majorHAnsi" w:hAnsiTheme="majorHAnsi"/>
          <w:sz w:val="23"/>
          <w:szCs w:val="23"/>
        </w:rPr>
        <w:t xml:space="preserve">a </w:t>
      </w:r>
      <w:r w:rsidR="006935E4">
        <w:rPr>
          <w:rFonts w:asciiTheme="majorHAnsi" w:hAnsiTheme="majorHAnsi"/>
          <w:sz w:val="23"/>
          <w:szCs w:val="23"/>
        </w:rPr>
        <w:t>Request for Proposals Investment Managers for Investment Grade Credit and Municipal Bonds (“RFP”)</w:t>
      </w:r>
      <w:r w:rsidR="00222E1D">
        <w:rPr>
          <w:rFonts w:asciiTheme="majorHAnsi" w:hAnsiTheme="majorHAnsi"/>
          <w:sz w:val="23"/>
          <w:szCs w:val="23"/>
        </w:rPr>
        <w:t>.</w:t>
      </w:r>
      <w:r w:rsidR="00C7449F">
        <w:rPr>
          <w:rFonts w:asciiTheme="majorHAnsi" w:hAnsiTheme="majorHAnsi"/>
          <w:sz w:val="23"/>
          <w:szCs w:val="23"/>
        </w:rPr>
        <w:t xml:space="preserve">  Two contracts resulted from that RFP, and both extended into Fiscal Year </w:t>
      </w:r>
      <w:r w:rsidR="0040648E">
        <w:rPr>
          <w:rFonts w:asciiTheme="majorHAnsi" w:hAnsiTheme="majorHAnsi"/>
          <w:sz w:val="23"/>
          <w:szCs w:val="23"/>
        </w:rPr>
        <w:t xml:space="preserve">2022 </w:t>
      </w:r>
      <w:r w:rsidR="00C7449F">
        <w:rPr>
          <w:rFonts w:asciiTheme="majorHAnsi" w:hAnsiTheme="majorHAnsi"/>
          <w:sz w:val="23"/>
          <w:szCs w:val="23"/>
        </w:rPr>
        <w:t>during which the Treasurer’s Office compensated the contractors a combined $</w:t>
      </w:r>
      <w:r w:rsidR="0040648E">
        <w:rPr>
          <w:rFonts w:asciiTheme="majorHAnsi" w:hAnsiTheme="majorHAnsi"/>
          <w:sz w:val="23"/>
          <w:szCs w:val="23"/>
        </w:rPr>
        <w:t>353,931.02</w:t>
      </w:r>
      <w:r w:rsidR="00C7449F">
        <w:rPr>
          <w:rFonts w:asciiTheme="majorHAnsi" w:hAnsiTheme="majorHAnsi"/>
          <w:sz w:val="23"/>
          <w:szCs w:val="23"/>
        </w:rPr>
        <w:t>.</w:t>
      </w:r>
      <w:r w:rsidR="00222E1D">
        <w:rPr>
          <w:rFonts w:asciiTheme="majorHAnsi" w:hAnsiTheme="majorHAnsi"/>
          <w:sz w:val="23"/>
          <w:szCs w:val="23"/>
        </w:rPr>
        <w:t xml:space="preserve">  </w:t>
      </w:r>
    </w:p>
    <w:p w14:paraId="13593B3D" w14:textId="77777777" w:rsidR="00F43B73" w:rsidRDefault="00F43B73" w:rsidP="00786E70">
      <w:pPr>
        <w:jc w:val="both"/>
        <w:rPr>
          <w:rFonts w:asciiTheme="majorHAnsi" w:hAnsiTheme="majorHAnsi"/>
          <w:sz w:val="23"/>
          <w:szCs w:val="23"/>
        </w:rPr>
      </w:pPr>
    </w:p>
    <w:p w14:paraId="7EDB6C5F" w14:textId="315C2A0A" w:rsidR="00B91E65" w:rsidRDefault="00222E1D" w:rsidP="00786E70">
      <w:pPr>
        <w:jc w:val="both"/>
        <w:rPr>
          <w:rFonts w:asciiTheme="majorHAnsi" w:hAnsiTheme="majorHAnsi"/>
          <w:sz w:val="23"/>
          <w:szCs w:val="23"/>
        </w:rPr>
      </w:pPr>
      <w:r>
        <w:rPr>
          <w:rFonts w:asciiTheme="majorHAnsi" w:hAnsiTheme="majorHAnsi"/>
          <w:sz w:val="23"/>
          <w:szCs w:val="23"/>
        </w:rPr>
        <w:t xml:space="preserve">While Section 1400.4560 of the Rules requires </w:t>
      </w:r>
      <w:r w:rsidR="007B2279">
        <w:rPr>
          <w:rFonts w:asciiTheme="majorHAnsi" w:hAnsiTheme="majorHAnsi"/>
          <w:sz w:val="23"/>
          <w:szCs w:val="23"/>
        </w:rPr>
        <w:t xml:space="preserve">no specific frequency or volume of small business set-aside </w:t>
      </w:r>
      <w:r w:rsidR="006935E4">
        <w:rPr>
          <w:rFonts w:asciiTheme="majorHAnsi" w:hAnsiTheme="majorHAnsi"/>
          <w:sz w:val="23"/>
          <w:szCs w:val="23"/>
        </w:rPr>
        <w:t>solicitations</w:t>
      </w:r>
      <w:r w:rsidR="007B2279">
        <w:rPr>
          <w:rFonts w:asciiTheme="majorHAnsi" w:hAnsiTheme="majorHAnsi"/>
          <w:sz w:val="23"/>
          <w:szCs w:val="23"/>
        </w:rPr>
        <w:t>, the Treasurer’s Office encourages small business participation</w:t>
      </w:r>
      <w:r w:rsidR="00F43B73">
        <w:rPr>
          <w:rFonts w:asciiTheme="majorHAnsi" w:hAnsiTheme="majorHAnsi"/>
          <w:sz w:val="23"/>
          <w:szCs w:val="23"/>
        </w:rPr>
        <w:t xml:space="preserve"> in all solicitations</w:t>
      </w:r>
      <w:r w:rsidR="002778DF">
        <w:rPr>
          <w:rFonts w:asciiTheme="majorHAnsi" w:hAnsiTheme="majorHAnsi"/>
          <w:sz w:val="23"/>
          <w:szCs w:val="23"/>
        </w:rPr>
        <w:t xml:space="preserve"> outside of the small business set-aside process</w:t>
      </w:r>
      <w:r w:rsidR="007B2279">
        <w:rPr>
          <w:rFonts w:asciiTheme="majorHAnsi" w:hAnsiTheme="majorHAnsi"/>
          <w:sz w:val="23"/>
          <w:szCs w:val="23"/>
        </w:rPr>
        <w:t xml:space="preserve">. </w:t>
      </w:r>
      <w:r w:rsidR="00F43B73">
        <w:rPr>
          <w:rFonts w:asciiTheme="majorHAnsi" w:hAnsiTheme="majorHAnsi"/>
          <w:sz w:val="23"/>
          <w:szCs w:val="23"/>
        </w:rPr>
        <w:t xml:space="preserve"> Accordingly, the Treasurer’s Office awarded in Fiscal Year 2021 a competitively-bid contract, for a total not-to-exceed $432,000.00, for re-keying and other repair services at the vault at the Treasurer’s Office located at the Marine Bank Building at One East Old State Capitol Plaza in Springfield, Illinois; this small business purchase allowed the Treasurer’s Office to complete a requested and necessary transfer to the Marine Bank Building of vault operations previously located at the State Capitol.</w:t>
      </w:r>
      <w:r w:rsidR="0040648E">
        <w:rPr>
          <w:rFonts w:asciiTheme="majorHAnsi" w:hAnsiTheme="majorHAnsi"/>
          <w:sz w:val="23"/>
          <w:szCs w:val="23"/>
        </w:rPr>
        <w:t xml:space="preserve">  The Treasurer’s </w:t>
      </w:r>
      <w:proofErr w:type="gramStart"/>
      <w:r w:rsidR="0040648E">
        <w:rPr>
          <w:rFonts w:asciiTheme="majorHAnsi" w:hAnsiTheme="majorHAnsi"/>
          <w:sz w:val="23"/>
          <w:szCs w:val="23"/>
        </w:rPr>
        <w:t>Office</w:t>
      </w:r>
      <w:proofErr w:type="gramEnd"/>
      <w:r w:rsidR="0040648E">
        <w:rPr>
          <w:rFonts w:asciiTheme="majorHAnsi" w:hAnsiTheme="majorHAnsi"/>
          <w:sz w:val="23"/>
          <w:szCs w:val="23"/>
        </w:rPr>
        <w:t xml:space="preserve"> similarly, in Fiscal Year 2022, awarded two additional publicly-solicited contracts to small businesses, for ongoing locksmith and security services at the Marine Bank Building as well as another solicitation for intermittent promotional products need</w:t>
      </w:r>
      <w:r w:rsidR="002778DF">
        <w:rPr>
          <w:rFonts w:asciiTheme="majorHAnsi" w:hAnsiTheme="majorHAnsi"/>
          <w:sz w:val="23"/>
          <w:szCs w:val="23"/>
        </w:rPr>
        <w:t>ed</w:t>
      </w:r>
      <w:r w:rsidR="0040648E">
        <w:rPr>
          <w:rFonts w:asciiTheme="majorHAnsi" w:hAnsiTheme="majorHAnsi"/>
          <w:sz w:val="23"/>
          <w:szCs w:val="23"/>
        </w:rPr>
        <w:t xml:space="preserve"> to increase public awareness of programs offered by the Treasurer’s Office.</w:t>
      </w:r>
    </w:p>
    <w:p w14:paraId="2AB9C482" w14:textId="77777777" w:rsidR="00B91E65" w:rsidRDefault="00B91E65" w:rsidP="00786E70">
      <w:pPr>
        <w:jc w:val="both"/>
        <w:rPr>
          <w:rFonts w:asciiTheme="majorHAnsi" w:hAnsiTheme="majorHAnsi"/>
          <w:sz w:val="23"/>
          <w:szCs w:val="23"/>
        </w:rPr>
      </w:pPr>
    </w:p>
    <w:p w14:paraId="0B9E67DB" w14:textId="63438FF8" w:rsidR="003238B1" w:rsidRDefault="0062684E" w:rsidP="00786E70">
      <w:pPr>
        <w:jc w:val="both"/>
        <w:rPr>
          <w:rFonts w:asciiTheme="majorHAnsi" w:hAnsiTheme="majorHAnsi"/>
          <w:sz w:val="23"/>
          <w:szCs w:val="23"/>
        </w:rPr>
      </w:pPr>
      <w:bookmarkStart w:id="1" w:name="_Hlk80093086"/>
      <w:r>
        <w:rPr>
          <w:rFonts w:asciiTheme="majorHAnsi" w:hAnsiTheme="majorHAnsi"/>
          <w:sz w:val="23"/>
          <w:szCs w:val="23"/>
        </w:rPr>
        <w:lastRenderedPageBreak/>
        <w:t>T</w:t>
      </w:r>
      <w:r w:rsidR="00C13EA9">
        <w:rPr>
          <w:rFonts w:asciiTheme="majorHAnsi" w:hAnsiTheme="majorHAnsi"/>
          <w:sz w:val="23"/>
          <w:szCs w:val="23"/>
        </w:rPr>
        <w:t xml:space="preserve">hrough </w:t>
      </w:r>
      <w:r w:rsidR="00F43B73">
        <w:rPr>
          <w:rFonts w:asciiTheme="majorHAnsi" w:hAnsiTheme="majorHAnsi"/>
          <w:sz w:val="23"/>
          <w:szCs w:val="23"/>
        </w:rPr>
        <w:t xml:space="preserve">all </w:t>
      </w:r>
      <w:r w:rsidR="002778DF">
        <w:rPr>
          <w:rFonts w:asciiTheme="majorHAnsi" w:hAnsiTheme="majorHAnsi"/>
          <w:sz w:val="23"/>
          <w:szCs w:val="23"/>
        </w:rPr>
        <w:t xml:space="preserve">contracts </w:t>
      </w:r>
      <w:r w:rsidR="003257E0">
        <w:rPr>
          <w:rFonts w:asciiTheme="majorHAnsi" w:hAnsiTheme="majorHAnsi"/>
          <w:sz w:val="23"/>
          <w:szCs w:val="23"/>
        </w:rPr>
        <w:t>active</w:t>
      </w:r>
      <w:r w:rsidR="007A4C42">
        <w:rPr>
          <w:rFonts w:asciiTheme="majorHAnsi" w:hAnsiTheme="majorHAnsi"/>
          <w:sz w:val="23"/>
          <w:szCs w:val="23"/>
        </w:rPr>
        <w:t>,</w:t>
      </w:r>
      <w:r w:rsidR="003257E0">
        <w:rPr>
          <w:rFonts w:asciiTheme="majorHAnsi" w:hAnsiTheme="majorHAnsi"/>
          <w:sz w:val="23"/>
          <w:szCs w:val="23"/>
        </w:rPr>
        <w:t xml:space="preserve"> </w:t>
      </w:r>
      <w:r w:rsidR="002778DF">
        <w:rPr>
          <w:rFonts w:asciiTheme="majorHAnsi" w:hAnsiTheme="majorHAnsi"/>
          <w:sz w:val="23"/>
          <w:szCs w:val="23"/>
        </w:rPr>
        <w:t xml:space="preserve">and </w:t>
      </w:r>
      <w:r w:rsidR="003257E0">
        <w:rPr>
          <w:rFonts w:asciiTheme="majorHAnsi" w:hAnsiTheme="majorHAnsi"/>
          <w:sz w:val="23"/>
          <w:szCs w:val="23"/>
        </w:rPr>
        <w:t xml:space="preserve">other </w:t>
      </w:r>
      <w:r w:rsidR="002778DF">
        <w:rPr>
          <w:rFonts w:asciiTheme="majorHAnsi" w:hAnsiTheme="majorHAnsi"/>
          <w:sz w:val="23"/>
          <w:szCs w:val="23"/>
        </w:rPr>
        <w:t xml:space="preserve">purchases </w:t>
      </w:r>
      <w:r w:rsidR="003257E0">
        <w:rPr>
          <w:rFonts w:asciiTheme="majorHAnsi" w:hAnsiTheme="majorHAnsi"/>
          <w:sz w:val="23"/>
          <w:szCs w:val="23"/>
        </w:rPr>
        <w:t>made</w:t>
      </w:r>
      <w:r w:rsidR="007A4C42">
        <w:rPr>
          <w:rFonts w:asciiTheme="majorHAnsi" w:hAnsiTheme="majorHAnsi"/>
          <w:sz w:val="23"/>
          <w:szCs w:val="23"/>
        </w:rPr>
        <w:t>,</w:t>
      </w:r>
      <w:r w:rsidR="002778DF">
        <w:rPr>
          <w:rFonts w:asciiTheme="majorHAnsi" w:hAnsiTheme="majorHAnsi"/>
          <w:sz w:val="23"/>
          <w:szCs w:val="23"/>
        </w:rPr>
        <w:t xml:space="preserve"> during </w:t>
      </w:r>
      <w:r w:rsidR="00F43B73">
        <w:rPr>
          <w:rFonts w:asciiTheme="majorHAnsi" w:hAnsiTheme="majorHAnsi"/>
          <w:sz w:val="23"/>
          <w:szCs w:val="23"/>
        </w:rPr>
        <w:t xml:space="preserve">Treasurer’s Office </w:t>
      </w:r>
      <w:r w:rsidR="00C50AEF">
        <w:rPr>
          <w:rFonts w:asciiTheme="majorHAnsi" w:hAnsiTheme="majorHAnsi"/>
          <w:sz w:val="23"/>
          <w:szCs w:val="23"/>
        </w:rPr>
        <w:t xml:space="preserve">Fiscal Year </w:t>
      </w:r>
      <w:r w:rsidR="0040648E">
        <w:rPr>
          <w:rFonts w:asciiTheme="majorHAnsi" w:hAnsiTheme="majorHAnsi"/>
          <w:sz w:val="23"/>
          <w:szCs w:val="23"/>
        </w:rPr>
        <w:t>2022</w:t>
      </w:r>
      <w:r w:rsidR="007B2279">
        <w:rPr>
          <w:rFonts w:asciiTheme="majorHAnsi" w:hAnsiTheme="majorHAnsi"/>
          <w:sz w:val="23"/>
          <w:szCs w:val="23"/>
        </w:rPr>
        <w:t xml:space="preserve">, the Treasurer’s Office </w:t>
      </w:r>
      <w:r w:rsidR="007838F7">
        <w:rPr>
          <w:rFonts w:asciiTheme="majorHAnsi" w:hAnsiTheme="majorHAnsi"/>
          <w:sz w:val="23"/>
          <w:szCs w:val="23"/>
        </w:rPr>
        <w:t xml:space="preserve">calculates that it </w:t>
      </w:r>
      <w:r w:rsidR="009F191F">
        <w:rPr>
          <w:rFonts w:asciiTheme="majorHAnsi" w:hAnsiTheme="majorHAnsi"/>
          <w:sz w:val="23"/>
          <w:szCs w:val="23"/>
        </w:rPr>
        <w:t xml:space="preserve">expended </w:t>
      </w:r>
      <w:r w:rsidR="00F43B73">
        <w:rPr>
          <w:rFonts w:asciiTheme="majorHAnsi" w:hAnsiTheme="majorHAnsi"/>
          <w:sz w:val="23"/>
          <w:szCs w:val="23"/>
        </w:rPr>
        <w:t xml:space="preserve">a total </w:t>
      </w:r>
      <w:r w:rsidR="000531BF">
        <w:rPr>
          <w:rFonts w:asciiTheme="majorHAnsi" w:hAnsiTheme="majorHAnsi"/>
          <w:sz w:val="23"/>
          <w:szCs w:val="23"/>
        </w:rPr>
        <w:t>$</w:t>
      </w:r>
      <w:r w:rsidR="00F153D6">
        <w:rPr>
          <w:rFonts w:asciiTheme="majorHAnsi" w:hAnsiTheme="majorHAnsi"/>
          <w:sz w:val="23"/>
          <w:szCs w:val="23"/>
        </w:rPr>
        <w:t>804,166.92</w:t>
      </w:r>
      <w:r w:rsidR="000531BF">
        <w:rPr>
          <w:rFonts w:asciiTheme="majorHAnsi" w:hAnsiTheme="majorHAnsi"/>
          <w:sz w:val="23"/>
          <w:szCs w:val="23"/>
        </w:rPr>
        <w:t xml:space="preserve"> </w:t>
      </w:r>
      <w:r w:rsidR="009F191F">
        <w:rPr>
          <w:rFonts w:asciiTheme="majorHAnsi" w:hAnsiTheme="majorHAnsi"/>
          <w:sz w:val="23"/>
          <w:szCs w:val="23"/>
        </w:rPr>
        <w:t>with</w:t>
      </w:r>
      <w:r w:rsidR="00C50AEF">
        <w:rPr>
          <w:rFonts w:asciiTheme="majorHAnsi" w:hAnsiTheme="majorHAnsi"/>
          <w:sz w:val="23"/>
          <w:szCs w:val="23"/>
        </w:rPr>
        <w:t xml:space="preserve"> small businesses registered through the State’s Chief Procurement Officer for General Services</w:t>
      </w:r>
      <w:bookmarkEnd w:id="1"/>
      <w:r w:rsidR="006A2105">
        <w:rPr>
          <w:rFonts w:asciiTheme="majorHAnsi" w:hAnsiTheme="majorHAnsi"/>
          <w:sz w:val="23"/>
          <w:szCs w:val="23"/>
        </w:rPr>
        <w:t>, which</w:t>
      </w:r>
      <w:r w:rsidR="00F153D6">
        <w:rPr>
          <w:rFonts w:asciiTheme="majorHAnsi" w:hAnsiTheme="majorHAnsi"/>
          <w:sz w:val="23"/>
          <w:szCs w:val="23"/>
        </w:rPr>
        <w:t xml:space="preserve"> represents an increase of 25% from Fiscal Year 2021 small business spending</w:t>
      </w:r>
      <w:r w:rsidR="009F191F">
        <w:rPr>
          <w:rFonts w:asciiTheme="majorHAnsi" w:hAnsiTheme="majorHAnsi"/>
          <w:sz w:val="23"/>
          <w:szCs w:val="23"/>
        </w:rPr>
        <w:t>.</w:t>
      </w:r>
    </w:p>
    <w:sectPr w:rsidR="003238B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80B2D" w14:textId="77777777" w:rsidR="000A2B36" w:rsidRDefault="000A2B36" w:rsidP="00622A10">
      <w:r>
        <w:separator/>
      </w:r>
    </w:p>
  </w:endnote>
  <w:endnote w:type="continuationSeparator" w:id="0">
    <w:p w14:paraId="07A15BBC" w14:textId="77777777" w:rsidR="000A2B36" w:rsidRDefault="000A2B36" w:rsidP="0062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747829"/>
      <w:docPartObj>
        <w:docPartGallery w:val="Page Numbers (Bottom of Page)"/>
        <w:docPartUnique/>
      </w:docPartObj>
    </w:sdtPr>
    <w:sdtEndPr/>
    <w:sdtContent>
      <w:sdt>
        <w:sdtPr>
          <w:id w:val="-1669238322"/>
          <w:docPartObj>
            <w:docPartGallery w:val="Page Numbers (Top of Page)"/>
            <w:docPartUnique/>
          </w:docPartObj>
        </w:sdtPr>
        <w:sdtEndPr/>
        <w:sdtContent>
          <w:p w14:paraId="32F01163" w14:textId="77777777" w:rsidR="007C255F" w:rsidRDefault="007C255F" w:rsidP="00622A10">
            <w:pPr>
              <w:pStyle w:val="Footer"/>
              <w:jc w:val="center"/>
            </w:pPr>
            <w:r w:rsidRPr="00622A10">
              <w:rPr>
                <w:rFonts w:ascii="Garamond" w:hAnsi="Garamond"/>
              </w:rPr>
              <w:t xml:space="preserve">Page </w:t>
            </w:r>
            <w:r w:rsidRPr="00622A10">
              <w:rPr>
                <w:rFonts w:ascii="Garamond" w:hAnsi="Garamond"/>
                <w:b/>
                <w:bCs/>
                <w:sz w:val="24"/>
                <w:szCs w:val="24"/>
              </w:rPr>
              <w:fldChar w:fldCharType="begin"/>
            </w:r>
            <w:r w:rsidRPr="00622A10">
              <w:rPr>
                <w:rFonts w:ascii="Garamond" w:hAnsi="Garamond"/>
                <w:b/>
                <w:bCs/>
              </w:rPr>
              <w:instrText xml:space="preserve"> PAGE </w:instrText>
            </w:r>
            <w:r w:rsidRPr="00622A10">
              <w:rPr>
                <w:rFonts w:ascii="Garamond" w:hAnsi="Garamond"/>
                <w:b/>
                <w:bCs/>
                <w:sz w:val="24"/>
                <w:szCs w:val="24"/>
              </w:rPr>
              <w:fldChar w:fldCharType="separate"/>
            </w:r>
            <w:r w:rsidR="00BD2CD9">
              <w:rPr>
                <w:rFonts w:ascii="Garamond" w:hAnsi="Garamond"/>
                <w:b/>
                <w:bCs/>
                <w:noProof/>
              </w:rPr>
              <w:t>5</w:t>
            </w:r>
            <w:r w:rsidRPr="00622A10">
              <w:rPr>
                <w:rFonts w:ascii="Garamond" w:hAnsi="Garamond"/>
                <w:b/>
                <w:bCs/>
                <w:sz w:val="24"/>
                <w:szCs w:val="24"/>
              </w:rPr>
              <w:fldChar w:fldCharType="end"/>
            </w:r>
            <w:r w:rsidRPr="00622A10">
              <w:rPr>
                <w:rFonts w:ascii="Garamond" w:hAnsi="Garamond"/>
              </w:rPr>
              <w:t xml:space="preserve"> of </w:t>
            </w:r>
            <w:r w:rsidRPr="00622A10">
              <w:rPr>
                <w:rFonts w:ascii="Garamond" w:hAnsi="Garamond"/>
                <w:b/>
                <w:bCs/>
                <w:sz w:val="24"/>
                <w:szCs w:val="24"/>
              </w:rPr>
              <w:fldChar w:fldCharType="begin"/>
            </w:r>
            <w:r w:rsidRPr="00622A10">
              <w:rPr>
                <w:rFonts w:ascii="Garamond" w:hAnsi="Garamond"/>
                <w:b/>
                <w:bCs/>
              </w:rPr>
              <w:instrText xml:space="preserve"> NUMPAGES  </w:instrText>
            </w:r>
            <w:r w:rsidRPr="00622A10">
              <w:rPr>
                <w:rFonts w:ascii="Garamond" w:hAnsi="Garamond"/>
                <w:b/>
                <w:bCs/>
                <w:sz w:val="24"/>
                <w:szCs w:val="24"/>
              </w:rPr>
              <w:fldChar w:fldCharType="separate"/>
            </w:r>
            <w:r w:rsidR="00BD2CD9">
              <w:rPr>
                <w:rFonts w:ascii="Garamond" w:hAnsi="Garamond"/>
                <w:b/>
                <w:bCs/>
                <w:noProof/>
              </w:rPr>
              <w:t>10</w:t>
            </w:r>
            <w:r w:rsidRPr="00622A10">
              <w:rPr>
                <w:rFonts w:ascii="Garamond" w:hAnsi="Garamond"/>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AA17" w14:textId="77777777" w:rsidR="000A2B36" w:rsidRDefault="000A2B36" w:rsidP="00622A10">
      <w:r>
        <w:separator/>
      </w:r>
    </w:p>
  </w:footnote>
  <w:footnote w:type="continuationSeparator" w:id="0">
    <w:p w14:paraId="2222DF4D" w14:textId="77777777" w:rsidR="000A2B36" w:rsidRDefault="000A2B36" w:rsidP="00622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5FDD"/>
    <w:multiLevelType w:val="hybridMultilevel"/>
    <w:tmpl w:val="F1F84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D2E0D"/>
    <w:multiLevelType w:val="hybridMultilevel"/>
    <w:tmpl w:val="B8CAC6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C0A77"/>
    <w:multiLevelType w:val="hybridMultilevel"/>
    <w:tmpl w:val="8C1A6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D365D"/>
    <w:multiLevelType w:val="hybridMultilevel"/>
    <w:tmpl w:val="7D88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50071"/>
    <w:multiLevelType w:val="hybridMultilevel"/>
    <w:tmpl w:val="2E86362E"/>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5" w15:restartNumberingAfterBreak="0">
    <w:nsid w:val="32396D75"/>
    <w:multiLevelType w:val="hybridMultilevel"/>
    <w:tmpl w:val="047EA2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E152AF"/>
    <w:multiLevelType w:val="hybridMultilevel"/>
    <w:tmpl w:val="F7CAA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A50F4"/>
    <w:multiLevelType w:val="hybridMultilevel"/>
    <w:tmpl w:val="74FED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83BAC"/>
    <w:multiLevelType w:val="hybridMultilevel"/>
    <w:tmpl w:val="F85E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A7C7B"/>
    <w:multiLevelType w:val="hybridMultilevel"/>
    <w:tmpl w:val="2E86362E"/>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0" w15:restartNumberingAfterBreak="0">
    <w:nsid w:val="3CFA0267"/>
    <w:multiLevelType w:val="singleLevel"/>
    <w:tmpl w:val="BFC0BE7A"/>
    <w:lvl w:ilvl="0">
      <w:start w:val="1"/>
      <w:numFmt w:val="lowerLetter"/>
      <w:lvlText w:val="%1."/>
      <w:lvlJc w:val="left"/>
      <w:pPr>
        <w:tabs>
          <w:tab w:val="num" w:pos="1080"/>
        </w:tabs>
        <w:ind w:left="1080" w:hanging="360"/>
      </w:pPr>
      <w:rPr>
        <w:rFonts w:hint="default"/>
      </w:rPr>
    </w:lvl>
  </w:abstractNum>
  <w:abstractNum w:abstractNumId="11" w15:restartNumberingAfterBreak="0">
    <w:nsid w:val="3DA94C0D"/>
    <w:multiLevelType w:val="hybridMultilevel"/>
    <w:tmpl w:val="2E8C2270"/>
    <w:lvl w:ilvl="0" w:tplc="F6BE6670">
      <w:start w:val="1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F3AE7"/>
    <w:multiLevelType w:val="hybridMultilevel"/>
    <w:tmpl w:val="05C22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610A0C"/>
    <w:multiLevelType w:val="hybridMultilevel"/>
    <w:tmpl w:val="E358385C"/>
    <w:lvl w:ilvl="0" w:tplc="50C63A32">
      <w:start w:val="1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97275"/>
    <w:multiLevelType w:val="hybridMultilevel"/>
    <w:tmpl w:val="AEB86C14"/>
    <w:lvl w:ilvl="0" w:tplc="BCEADE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4419E6"/>
    <w:multiLevelType w:val="hybridMultilevel"/>
    <w:tmpl w:val="7190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41231"/>
    <w:multiLevelType w:val="hybridMultilevel"/>
    <w:tmpl w:val="31DA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4"/>
  </w:num>
  <w:num w:numId="4">
    <w:abstractNumId w:val="9"/>
  </w:num>
  <w:num w:numId="5">
    <w:abstractNumId w:val="15"/>
  </w:num>
  <w:num w:numId="6">
    <w:abstractNumId w:val="16"/>
  </w:num>
  <w:num w:numId="7">
    <w:abstractNumId w:val="10"/>
  </w:num>
  <w:num w:numId="8">
    <w:abstractNumId w:val="14"/>
  </w:num>
  <w:num w:numId="9">
    <w:abstractNumId w:val="12"/>
  </w:num>
  <w:num w:numId="10">
    <w:abstractNumId w:val="8"/>
  </w:num>
  <w:num w:numId="11">
    <w:abstractNumId w:val="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
  </w:num>
  <w:num w:numId="15">
    <w:abstractNumId w:val="1"/>
  </w:num>
  <w:num w:numId="16">
    <w:abstractNumId w:val="2"/>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63"/>
    <w:rsid w:val="000139E4"/>
    <w:rsid w:val="00015042"/>
    <w:rsid w:val="000153A9"/>
    <w:rsid w:val="00030CC4"/>
    <w:rsid w:val="00036CFD"/>
    <w:rsid w:val="00043431"/>
    <w:rsid w:val="0004487E"/>
    <w:rsid w:val="0005209E"/>
    <w:rsid w:val="000520D7"/>
    <w:rsid w:val="0005256E"/>
    <w:rsid w:val="000531BF"/>
    <w:rsid w:val="0005545D"/>
    <w:rsid w:val="00061F03"/>
    <w:rsid w:val="00070304"/>
    <w:rsid w:val="000707ED"/>
    <w:rsid w:val="000712FA"/>
    <w:rsid w:val="00076180"/>
    <w:rsid w:val="0007652D"/>
    <w:rsid w:val="000802F3"/>
    <w:rsid w:val="00080AF7"/>
    <w:rsid w:val="000832E8"/>
    <w:rsid w:val="000847D1"/>
    <w:rsid w:val="00092150"/>
    <w:rsid w:val="00095BB8"/>
    <w:rsid w:val="00097D77"/>
    <w:rsid w:val="000A2B36"/>
    <w:rsid w:val="000C6479"/>
    <w:rsid w:val="000D4F16"/>
    <w:rsid w:val="000E4454"/>
    <w:rsid w:val="0010795F"/>
    <w:rsid w:val="00112FAA"/>
    <w:rsid w:val="00114D64"/>
    <w:rsid w:val="0011621C"/>
    <w:rsid w:val="001210A5"/>
    <w:rsid w:val="00122B88"/>
    <w:rsid w:val="001248B0"/>
    <w:rsid w:val="00126FF6"/>
    <w:rsid w:val="00142D24"/>
    <w:rsid w:val="00147827"/>
    <w:rsid w:val="00155B76"/>
    <w:rsid w:val="001641D1"/>
    <w:rsid w:val="00180D3C"/>
    <w:rsid w:val="001811F3"/>
    <w:rsid w:val="00183E67"/>
    <w:rsid w:val="001878C4"/>
    <w:rsid w:val="0019463E"/>
    <w:rsid w:val="001A049C"/>
    <w:rsid w:val="001A04F4"/>
    <w:rsid w:val="001A5E86"/>
    <w:rsid w:val="001B612C"/>
    <w:rsid w:val="001C034C"/>
    <w:rsid w:val="001C1C78"/>
    <w:rsid w:val="001C5361"/>
    <w:rsid w:val="001F096D"/>
    <w:rsid w:val="001F11E6"/>
    <w:rsid w:val="00203A7D"/>
    <w:rsid w:val="00216984"/>
    <w:rsid w:val="00222E1D"/>
    <w:rsid w:val="00231E88"/>
    <w:rsid w:val="0023342A"/>
    <w:rsid w:val="00237C6D"/>
    <w:rsid w:val="002414D7"/>
    <w:rsid w:val="00242F21"/>
    <w:rsid w:val="00254102"/>
    <w:rsid w:val="002778DF"/>
    <w:rsid w:val="00287864"/>
    <w:rsid w:val="00297002"/>
    <w:rsid w:val="002A1369"/>
    <w:rsid w:val="002C6A47"/>
    <w:rsid w:val="002D4A8A"/>
    <w:rsid w:val="002E7E6D"/>
    <w:rsid w:val="002F1F0F"/>
    <w:rsid w:val="002F283B"/>
    <w:rsid w:val="00313031"/>
    <w:rsid w:val="003224C6"/>
    <w:rsid w:val="003238B1"/>
    <w:rsid w:val="00324B1B"/>
    <w:rsid w:val="003257E0"/>
    <w:rsid w:val="00325DFB"/>
    <w:rsid w:val="00347C9D"/>
    <w:rsid w:val="00355752"/>
    <w:rsid w:val="0036139D"/>
    <w:rsid w:val="00363FA5"/>
    <w:rsid w:val="003665DA"/>
    <w:rsid w:val="003679C7"/>
    <w:rsid w:val="00367ECF"/>
    <w:rsid w:val="003715C9"/>
    <w:rsid w:val="003737D7"/>
    <w:rsid w:val="00376A7B"/>
    <w:rsid w:val="00377018"/>
    <w:rsid w:val="0038435A"/>
    <w:rsid w:val="00392353"/>
    <w:rsid w:val="00395470"/>
    <w:rsid w:val="003A66E2"/>
    <w:rsid w:val="003C09CD"/>
    <w:rsid w:val="003C5E74"/>
    <w:rsid w:val="003C6592"/>
    <w:rsid w:val="003C6A25"/>
    <w:rsid w:val="003D6BCE"/>
    <w:rsid w:val="003F11B6"/>
    <w:rsid w:val="003F6A7B"/>
    <w:rsid w:val="00400659"/>
    <w:rsid w:val="0040648E"/>
    <w:rsid w:val="00415810"/>
    <w:rsid w:val="004177D9"/>
    <w:rsid w:val="004241B8"/>
    <w:rsid w:val="004253A1"/>
    <w:rsid w:val="0042736D"/>
    <w:rsid w:val="004334F2"/>
    <w:rsid w:val="00446685"/>
    <w:rsid w:val="00447993"/>
    <w:rsid w:val="00447FAA"/>
    <w:rsid w:val="00453437"/>
    <w:rsid w:val="004557CC"/>
    <w:rsid w:val="004558E3"/>
    <w:rsid w:val="004635C9"/>
    <w:rsid w:val="00485512"/>
    <w:rsid w:val="00490BB8"/>
    <w:rsid w:val="0049477A"/>
    <w:rsid w:val="004A5CAF"/>
    <w:rsid w:val="004B5ABE"/>
    <w:rsid w:val="004C27BE"/>
    <w:rsid w:val="004D3C2B"/>
    <w:rsid w:val="004D6896"/>
    <w:rsid w:val="004E2375"/>
    <w:rsid w:val="004F03DE"/>
    <w:rsid w:val="004F2864"/>
    <w:rsid w:val="004F2C78"/>
    <w:rsid w:val="0051064A"/>
    <w:rsid w:val="005153AE"/>
    <w:rsid w:val="00516AB3"/>
    <w:rsid w:val="00526963"/>
    <w:rsid w:val="00540CE3"/>
    <w:rsid w:val="00550B97"/>
    <w:rsid w:val="00553D24"/>
    <w:rsid w:val="00560000"/>
    <w:rsid w:val="00574EBD"/>
    <w:rsid w:val="00594CB2"/>
    <w:rsid w:val="00597518"/>
    <w:rsid w:val="005A5A48"/>
    <w:rsid w:val="005A7D81"/>
    <w:rsid w:val="005B379A"/>
    <w:rsid w:val="005B3C8D"/>
    <w:rsid w:val="005B70BA"/>
    <w:rsid w:val="005B74A5"/>
    <w:rsid w:val="005C0BBB"/>
    <w:rsid w:val="005C3DE4"/>
    <w:rsid w:val="005D561E"/>
    <w:rsid w:val="005D6A27"/>
    <w:rsid w:val="005E5D5B"/>
    <w:rsid w:val="005F2AE2"/>
    <w:rsid w:val="005F40E3"/>
    <w:rsid w:val="005F4CB4"/>
    <w:rsid w:val="00607810"/>
    <w:rsid w:val="00622A10"/>
    <w:rsid w:val="0062684E"/>
    <w:rsid w:val="0063168C"/>
    <w:rsid w:val="00634CBE"/>
    <w:rsid w:val="00645D09"/>
    <w:rsid w:val="006534B7"/>
    <w:rsid w:val="00654C64"/>
    <w:rsid w:val="00656C95"/>
    <w:rsid w:val="006658E0"/>
    <w:rsid w:val="006659F6"/>
    <w:rsid w:val="00667F52"/>
    <w:rsid w:val="00671508"/>
    <w:rsid w:val="0068124D"/>
    <w:rsid w:val="006829D4"/>
    <w:rsid w:val="006935E4"/>
    <w:rsid w:val="00695589"/>
    <w:rsid w:val="006A2105"/>
    <w:rsid w:val="006A3C8D"/>
    <w:rsid w:val="006C7F3F"/>
    <w:rsid w:val="006D11CF"/>
    <w:rsid w:val="006E09E7"/>
    <w:rsid w:val="006F714F"/>
    <w:rsid w:val="00700150"/>
    <w:rsid w:val="00704E65"/>
    <w:rsid w:val="00705B87"/>
    <w:rsid w:val="00711454"/>
    <w:rsid w:val="0071543E"/>
    <w:rsid w:val="00715753"/>
    <w:rsid w:val="00717D61"/>
    <w:rsid w:val="00725C50"/>
    <w:rsid w:val="007266CC"/>
    <w:rsid w:val="0072760F"/>
    <w:rsid w:val="00731275"/>
    <w:rsid w:val="00735441"/>
    <w:rsid w:val="00740D0B"/>
    <w:rsid w:val="00745184"/>
    <w:rsid w:val="00747C66"/>
    <w:rsid w:val="0075597C"/>
    <w:rsid w:val="00756ECB"/>
    <w:rsid w:val="007570B7"/>
    <w:rsid w:val="00763BC3"/>
    <w:rsid w:val="00767756"/>
    <w:rsid w:val="00770C52"/>
    <w:rsid w:val="007759B6"/>
    <w:rsid w:val="007834F1"/>
    <w:rsid w:val="007838F7"/>
    <w:rsid w:val="007842E0"/>
    <w:rsid w:val="00786E70"/>
    <w:rsid w:val="007912CA"/>
    <w:rsid w:val="007921D4"/>
    <w:rsid w:val="00793052"/>
    <w:rsid w:val="007A4C42"/>
    <w:rsid w:val="007B2279"/>
    <w:rsid w:val="007B4064"/>
    <w:rsid w:val="007B5B58"/>
    <w:rsid w:val="007C02F2"/>
    <w:rsid w:val="007C255F"/>
    <w:rsid w:val="007D34D8"/>
    <w:rsid w:val="007D5F67"/>
    <w:rsid w:val="00803F08"/>
    <w:rsid w:val="00810C1C"/>
    <w:rsid w:val="00812D85"/>
    <w:rsid w:val="00823D3F"/>
    <w:rsid w:val="00827B14"/>
    <w:rsid w:val="00832C3A"/>
    <w:rsid w:val="00837A82"/>
    <w:rsid w:val="008515E2"/>
    <w:rsid w:val="008527CF"/>
    <w:rsid w:val="00853D3D"/>
    <w:rsid w:val="00855FA3"/>
    <w:rsid w:val="00863F2D"/>
    <w:rsid w:val="00876DDF"/>
    <w:rsid w:val="008816A6"/>
    <w:rsid w:val="00881DFD"/>
    <w:rsid w:val="00892044"/>
    <w:rsid w:val="00897F7C"/>
    <w:rsid w:val="008C26BE"/>
    <w:rsid w:val="0090141E"/>
    <w:rsid w:val="009051B4"/>
    <w:rsid w:val="00906101"/>
    <w:rsid w:val="00915919"/>
    <w:rsid w:val="00921416"/>
    <w:rsid w:val="00924229"/>
    <w:rsid w:val="00926812"/>
    <w:rsid w:val="00937173"/>
    <w:rsid w:val="00951042"/>
    <w:rsid w:val="0095186C"/>
    <w:rsid w:val="00954B86"/>
    <w:rsid w:val="00962ABB"/>
    <w:rsid w:val="0096399C"/>
    <w:rsid w:val="00993E4A"/>
    <w:rsid w:val="00995376"/>
    <w:rsid w:val="00995F57"/>
    <w:rsid w:val="009A2328"/>
    <w:rsid w:val="009A4E50"/>
    <w:rsid w:val="009A5B90"/>
    <w:rsid w:val="009B0D23"/>
    <w:rsid w:val="009B4B50"/>
    <w:rsid w:val="009B594A"/>
    <w:rsid w:val="009D4DA2"/>
    <w:rsid w:val="009E6153"/>
    <w:rsid w:val="009E76BD"/>
    <w:rsid w:val="009F064E"/>
    <w:rsid w:val="009F068E"/>
    <w:rsid w:val="009F191F"/>
    <w:rsid w:val="009F4817"/>
    <w:rsid w:val="00A04629"/>
    <w:rsid w:val="00A0606B"/>
    <w:rsid w:val="00A065AF"/>
    <w:rsid w:val="00A06EBD"/>
    <w:rsid w:val="00A10D76"/>
    <w:rsid w:val="00A14D16"/>
    <w:rsid w:val="00A21A8F"/>
    <w:rsid w:val="00A260D2"/>
    <w:rsid w:val="00A3366D"/>
    <w:rsid w:val="00A37C94"/>
    <w:rsid w:val="00A401D9"/>
    <w:rsid w:val="00A65B90"/>
    <w:rsid w:val="00A81017"/>
    <w:rsid w:val="00A82DEA"/>
    <w:rsid w:val="00A86E57"/>
    <w:rsid w:val="00A92539"/>
    <w:rsid w:val="00A9330E"/>
    <w:rsid w:val="00A93F1E"/>
    <w:rsid w:val="00A95F3B"/>
    <w:rsid w:val="00A96E6D"/>
    <w:rsid w:val="00AA5470"/>
    <w:rsid w:val="00AB3098"/>
    <w:rsid w:val="00AB353E"/>
    <w:rsid w:val="00AB392F"/>
    <w:rsid w:val="00AC4AA6"/>
    <w:rsid w:val="00AC7A13"/>
    <w:rsid w:val="00AD1D2F"/>
    <w:rsid w:val="00AD20C7"/>
    <w:rsid w:val="00AF0CA0"/>
    <w:rsid w:val="00AF5AE7"/>
    <w:rsid w:val="00B03DBE"/>
    <w:rsid w:val="00B07A04"/>
    <w:rsid w:val="00B13DCB"/>
    <w:rsid w:val="00B1563F"/>
    <w:rsid w:val="00B156C4"/>
    <w:rsid w:val="00B24779"/>
    <w:rsid w:val="00B254B7"/>
    <w:rsid w:val="00B26C2B"/>
    <w:rsid w:val="00B43ED8"/>
    <w:rsid w:val="00B440FC"/>
    <w:rsid w:val="00B4755A"/>
    <w:rsid w:val="00B5024D"/>
    <w:rsid w:val="00B560C4"/>
    <w:rsid w:val="00B62C1E"/>
    <w:rsid w:val="00B65257"/>
    <w:rsid w:val="00B65C64"/>
    <w:rsid w:val="00B741BE"/>
    <w:rsid w:val="00B74A93"/>
    <w:rsid w:val="00B758B4"/>
    <w:rsid w:val="00B850A8"/>
    <w:rsid w:val="00B8768C"/>
    <w:rsid w:val="00B91E65"/>
    <w:rsid w:val="00B960DC"/>
    <w:rsid w:val="00BA2A4F"/>
    <w:rsid w:val="00BB6BA4"/>
    <w:rsid w:val="00BC31AA"/>
    <w:rsid w:val="00BC32C2"/>
    <w:rsid w:val="00BC7380"/>
    <w:rsid w:val="00BD2CD9"/>
    <w:rsid w:val="00BD2E03"/>
    <w:rsid w:val="00BD6301"/>
    <w:rsid w:val="00BE6807"/>
    <w:rsid w:val="00BF5A1B"/>
    <w:rsid w:val="00C101FB"/>
    <w:rsid w:val="00C13282"/>
    <w:rsid w:val="00C13EA9"/>
    <w:rsid w:val="00C14B83"/>
    <w:rsid w:val="00C41F9D"/>
    <w:rsid w:val="00C47433"/>
    <w:rsid w:val="00C50AEF"/>
    <w:rsid w:val="00C72EFA"/>
    <w:rsid w:val="00C7449F"/>
    <w:rsid w:val="00C800F2"/>
    <w:rsid w:val="00C94016"/>
    <w:rsid w:val="00CA189A"/>
    <w:rsid w:val="00CA1F69"/>
    <w:rsid w:val="00CA5BBF"/>
    <w:rsid w:val="00CB04D0"/>
    <w:rsid w:val="00CB3337"/>
    <w:rsid w:val="00CB40C9"/>
    <w:rsid w:val="00CE0A28"/>
    <w:rsid w:val="00CE0E54"/>
    <w:rsid w:val="00CF42BE"/>
    <w:rsid w:val="00CF4320"/>
    <w:rsid w:val="00D033F7"/>
    <w:rsid w:val="00D13A05"/>
    <w:rsid w:val="00D1711E"/>
    <w:rsid w:val="00D27853"/>
    <w:rsid w:val="00D327DD"/>
    <w:rsid w:val="00D33B79"/>
    <w:rsid w:val="00D34071"/>
    <w:rsid w:val="00D413F5"/>
    <w:rsid w:val="00D4382B"/>
    <w:rsid w:val="00D66373"/>
    <w:rsid w:val="00D669C6"/>
    <w:rsid w:val="00D6727B"/>
    <w:rsid w:val="00D7092B"/>
    <w:rsid w:val="00D71132"/>
    <w:rsid w:val="00D86A2E"/>
    <w:rsid w:val="00D86BDB"/>
    <w:rsid w:val="00DA0273"/>
    <w:rsid w:val="00DA0D88"/>
    <w:rsid w:val="00DA2B41"/>
    <w:rsid w:val="00DB24EA"/>
    <w:rsid w:val="00DC6AB4"/>
    <w:rsid w:val="00DC6BFD"/>
    <w:rsid w:val="00DD0B89"/>
    <w:rsid w:val="00DD33E0"/>
    <w:rsid w:val="00DD4EB8"/>
    <w:rsid w:val="00DF2385"/>
    <w:rsid w:val="00E00CB9"/>
    <w:rsid w:val="00E01527"/>
    <w:rsid w:val="00E03FEE"/>
    <w:rsid w:val="00E2304D"/>
    <w:rsid w:val="00E23521"/>
    <w:rsid w:val="00E25529"/>
    <w:rsid w:val="00E546EB"/>
    <w:rsid w:val="00E56C4D"/>
    <w:rsid w:val="00E6184A"/>
    <w:rsid w:val="00E72AAF"/>
    <w:rsid w:val="00E73654"/>
    <w:rsid w:val="00E81E46"/>
    <w:rsid w:val="00E835B1"/>
    <w:rsid w:val="00E842E2"/>
    <w:rsid w:val="00E86CFB"/>
    <w:rsid w:val="00E907C8"/>
    <w:rsid w:val="00E910CE"/>
    <w:rsid w:val="00E95B30"/>
    <w:rsid w:val="00EA2007"/>
    <w:rsid w:val="00EB24A8"/>
    <w:rsid w:val="00EB6F7B"/>
    <w:rsid w:val="00EC2B31"/>
    <w:rsid w:val="00EC4FD4"/>
    <w:rsid w:val="00EC6DE9"/>
    <w:rsid w:val="00ED03B8"/>
    <w:rsid w:val="00F05FE4"/>
    <w:rsid w:val="00F13D85"/>
    <w:rsid w:val="00F153D6"/>
    <w:rsid w:val="00F16133"/>
    <w:rsid w:val="00F30D85"/>
    <w:rsid w:val="00F349AA"/>
    <w:rsid w:val="00F376D5"/>
    <w:rsid w:val="00F43B73"/>
    <w:rsid w:val="00F51BEF"/>
    <w:rsid w:val="00F75E10"/>
    <w:rsid w:val="00F76782"/>
    <w:rsid w:val="00F844D2"/>
    <w:rsid w:val="00F85269"/>
    <w:rsid w:val="00F8716A"/>
    <w:rsid w:val="00F921D6"/>
    <w:rsid w:val="00FA63C2"/>
    <w:rsid w:val="00FB2C4D"/>
    <w:rsid w:val="00FC1254"/>
    <w:rsid w:val="00FC6B24"/>
    <w:rsid w:val="00FD0EE3"/>
    <w:rsid w:val="00FE1E88"/>
    <w:rsid w:val="00FE7F97"/>
    <w:rsid w:val="00FF1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FB6B"/>
  <w15:docId w15:val="{716EBC9A-35BB-4919-98F6-F6A542EC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7433"/>
    <w:pPr>
      <w:ind w:left="720"/>
      <w:contextualSpacing/>
    </w:pPr>
  </w:style>
  <w:style w:type="character" w:styleId="Hyperlink">
    <w:name w:val="Hyperlink"/>
    <w:basedOn w:val="DefaultParagraphFont"/>
    <w:uiPriority w:val="99"/>
    <w:unhideWhenUsed/>
    <w:rsid w:val="00070304"/>
    <w:rPr>
      <w:color w:val="0000FF" w:themeColor="hyperlink"/>
      <w:u w:val="single"/>
    </w:rPr>
  </w:style>
  <w:style w:type="paragraph" w:styleId="Header">
    <w:name w:val="header"/>
    <w:basedOn w:val="Normal"/>
    <w:link w:val="HeaderChar"/>
    <w:uiPriority w:val="99"/>
    <w:unhideWhenUsed/>
    <w:rsid w:val="00622A10"/>
    <w:pPr>
      <w:tabs>
        <w:tab w:val="center" w:pos="4680"/>
        <w:tab w:val="right" w:pos="9360"/>
      </w:tabs>
    </w:pPr>
  </w:style>
  <w:style w:type="character" w:customStyle="1" w:styleId="HeaderChar">
    <w:name w:val="Header Char"/>
    <w:basedOn w:val="DefaultParagraphFont"/>
    <w:link w:val="Header"/>
    <w:uiPriority w:val="99"/>
    <w:rsid w:val="00622A10"/>
  </w:style>
  <w:style w:type="paragraph" w:styleId="Footer">
    <w:name w:val="footer"/>
    <w:basedOn w:val="Normal"/>
    <w:link w:val="FooterChar"/>
    <w:uiPriority w:val="99"/>
    <w:unhideWhenUsed/>
    <w:rsid w:val="00622A10"/>
    <w:pPr>
      <w:tabs>
        <w:tab w:val="center" w:pos="4680"/>
        <w:tab w:val="right" w:pos="9360"/>
      </w:tabs>
    </w:pPr>
  </w:style>
  <w:style w:type="character" w:customStyle="1" w:styleId="FooterChar">
    <w:name w:val="Footer Char"/>
    <w:basedOn w:val="DefaultParagraphFont"/>
    <w:link w:val="Footer"/>
    <w:uiPriority w:val="99"/>
    <w:rsid w:val="00622A10"/>
  </w:style>
  <w:style w:type="paragraph" w:styleId="BalloonText">
    <w:name w:val="Balloon Text"/>
    <w:basedOn w:val="Normal"/>
    <w:link w:val="BalloonTextChar"/>
    <w:uiPriority w:val="99"/>
    <w:semiHidden/>
    <w:unhideWhenUsed/>
    <w:rsid w:val="00622A10"/>
    <w:rPr>
      <w:rFonts w:ascii="Tahoma" w:hAnsi="Tahoma" w:cs="Tahoma"/>
      <w:sz w:val="16"/>
      <w:szCs w:val="16"/>
    </w:rPr>
  </w:style>
  <w:style w:type="character" w:customStyle="1" w:styleId="BalloonTextChar">
    <w:name w:val="Balloon Text Char"/>
    <w:basedOn w:val="DefaultParagraphFont"/>
    <w:link w:val="BalloonText"/>
    <w:uiPriority w:val="99"/>
    <w:semiHidden/>
    <w:rsid w:val="00622A10"/>
    <w:rPr>
      <w:rFonts w:ascii="Tahoma" w:hAnsi="Tahoma" w:cs="Tahoma"/>
      <w:sz w:val="16"/>
      <w:szCs w:val="16"/>
    </w:rPr>
  </w:style>
  <w:style w:type="paragraph" w:styleId="Subtitle">
    <w:name w:val="Subtitle"/>
    <w:basedOn w:val="Normal"/>
    <w:link w:val="SubtitleChar"/>
    <w:uiPriority w:val="99"/>
    <w:qFormat/>
    <w:rsid w:val="00126FF6"/>
    <w:pPr>
      <w:jc w:val="center"/>
    </w:pPr>
    <w:rPr>
      <w:rFonts w:ascii="CG Times" w:eastAsia="Times New Roman" w:hAnsi="CG Times" w:cs="Times New Roman"/>
      <w:b/>
      <w:sz w:val="28"/>
      <w:szCs w:val="20"/>
    </w:rPr>
  </w:style>
  <w:style w:type="character" w:customStyle="1" w:styleId="SubtitleChar">
    <w:name w:val="Subtitle Char"/>
    <w:basedOn w:val="DefaultParagraphFont"/>
    <w:link w:val="Subtitle"/>
    <w:uiPriority w:val="99"/>
    <w:rsid w:val="00126FF6"/>
    <w:rPr>
      <w:rFonts w:ascii="CG Times" w:eastAsia="Times New Roman" w:hAnsi="CG Times" w:cs="Times New Roman"/>
      <w:b/>
      <w:sz w:val="28"/>
      <w:szCs w:val="20"/>
    </w:rPr>
  </w:style>
  <w:style w:type="paragraph" w:styleId="BlockText">
    <w:name w:val="Block Text"/>
    <w:basedOn w:val="Normal"/>
    <w:rsid w:val="00363FA5"/>
    <w:pPr>
      <w:ind w:left="-720" w:righ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30CC4"/>
    <w:rPr>
      <w:sz w:val="16"/>
      <w:szCs w:val="16"/>
    </w:rPr>
  </w:style>
  <w:style w:type="paragraph" w:styleId="CommentText">
    <w:name w:val="annotation text"/>
    <w:basedOn w:val="Normal"/>
    <w:link w:val="CommentTextChar"/>
    <w:uiPriority w:val="99"/>
    <w:semiHidden/>
    <w:unhideWhenUsed/>
    <w:rsid w:val="00030CC4"/>
    <w:rPr>
      <w:sz w:val="20"/>
      <w:szCs w:val="20"/>
    </w:rPr>
  </w:style>
  <w:style w:type="character" w:customStyle="1" w:styleId="CommentTextChar">
    <w:name w:val="Comment Text Char"/>
    <w:basedOn w:val="DefaultParagraphFont"/>
    <w:link w:val="CommentText"/>
    <w:uiPriority w:val="99"/>
    <w:semiHidden/>
    <w:rsid w:val="00030CC4"/>
    <w:rPr>
      <w:sz w:val="20"/>
      <w:szCs w:val="20"/>
    </w:rPr>
  </w:style>
  <w:style w:type="paragraph" w:styleId="CommentSubject">
    <w:name w:val="annotation subject"/>
    <w:basedOn w:val="CommentText"/>
    <w:next w:val="CommentText"/>
    <w:link w:val="CommentSubjectChar"/>
    <w:uiPriority w:val="99"/>
    <w:semiHidden/>
    <w:unhideWhenUsed/>
    <w:rsid w:val="00030CC4"/>
    <w:rPr>
      <w:b/>
      <w:bCs/>
    </w:rPr>
  </w:style>
  <w:style w:type="character" w:customStyle="1" w:styleId="CommentSubjectChar">
    <w:name w:val="Comment Subject Char"/>
    <w:basedOn w:val="CommentTextChar"/>
    <w:link w:val="CommentSubject"/>
    <w:uiPriority w:val="99"/>
    <w:semiHidden/>
    <w:rsid w:val="00030CC4"/>
    <w:rPr>
      <w:b/>
      <w:bCs/>
      <w:sz w:val="20"/>
      <w:szCs w:val="20"/>
    </w:rPr>
  </w:style>
  <w:style w:type="paragraph" w:styleId="Revision">
    <w:name w:val="Revision"/>
    <w:hidden/>
    <w:uiPriority w:val="99"/>
    <w:semiHidden/>
    <w:rsid w:val="00B91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66026">
      <w:bodyDiv w:val="1"/>
      <w:marLeft w:val="0"/>
      <w:marRight w:val="0"/>
      <w:marTop w:val="0"/>
      <w:marBottom w:val="0"/>
      <w:divBdr>
        <w:top w:val="none" w:sz="0" w:space="0" w:color="auto"/>
        <w:left w:val="none" w:sz="0" w:space="0" w:color="auto"/>
        <w:bottom w:val="none" w:sz="0" w:space="0" w:color="auto"/>
        <w:right w:val="none" w:sz="0" w:space="0" w:color="auto"/>
      </w:divBdr>
    </w:div>
    <w:div w:id="252208970">
      <w:bodyDiv w:val="1"/>
      <w:marLeft w:val="0"/>
      <w:marRight w:val="0"/>
      <w:marTop w:val="0"/>
      <w:marBottom w:val="0"/>
      <w:divBdr>
        <w:top w:val="none" w:sz="0" w:space="0" w:color="auto"/>
        <w:left w:val="none" w:sz="0" w:space="0" w:color="auto"/>
        <w:bottom w:val="none" w:sz="0" w:space="0" w:color="auto"/>
        <w:right w:val="none" w:sz="0" w:space="0" w:color="auto"/>
      </w:divBdr>
    </w:div>
    <w:div w:id="433478905">
      <w:bodyDiv w:val="1"/>
      <w:marLeft w:val="0"/>
      <w:marRight w:val="0"/>
      <w:marTop w:val="0"/>
      <w:marBottom w:val="0"/>
      <w:divBdr>
        <w:top w:val="none" w:sz="0" w:space="0" w:color="auto"/>
        <w:left w:val="none" w:sz="0" w:space="0" w:color="auto"/>
        <w:bottom w:val="none" w:sz="0" w:space="0" w:color="auto"/>
        <w:right w:val="none" w:sz="0" w:space="0" w:color="auto"/>
      </w:divBdr>
    </w:div>
    <w:div w:id="508301439">
      <w:bodyDiv w:val="1"/>
      <w:marLeft w:val="0"/>
      <w:marRight w:val="0"/>
      <w:marTop w:val="0"/>
      <w:marBottom w:val="0"/>
      <w:divBdr>
        <w:top w:val="none" w:sz="0" w:space="0" w:color="auto"/>
        <w:left w:val="none" w:sz="0" w:space="0" w:color="auto"/>
        <w:bottom w:val="none" w:sz="0" w:space="0" w:color="auto"/>
        <w:right w:val="none" w:sz="0" w:space="0" w:color="auto"/>
      </w:divBdr>
    </w:div>
    <w:div w:id="550576066">
      <w:bodyDiv w:val="1"/>
      <w:marLeft w:val="0"/>
      <w:marRight w:val="0"/>
      <w:marTop w:val="0"/>
      <w:marBottom w:val="0"/>
      <w:divBdr>
        <w:top w:val="none" w:sz="0" w:space="0" w:color="auto"/>
        <w:left w:val="none" w:sz="0" w:space="0" w:color="auto"/>
        <w:bottom w:val="none" w:sz="0" w:space="0" w:color="auto"/>
        <w:right w:val="none" w:sz="0" w:space="0" w:color="auto"/>
      </w:divBdr>
    </w:div>
    <w:div w:id="1297447086">
      <w:bodyDiv w:val="1"/>
      <w:marLeft w:val="0"/>
      <w:marRight w:val="0"/>
      <w:marTop w:val="0"/>
      <w:marBottom w:val="0"/>
      <w:divBdr>
        <w:top w:val="none" w:sz="0" w:space="0" w:color="auto"/>
        <w:left w:val="none" w:sz="0" w:space="0" w:color="auto"/>
        <w:bottom w:val="none" w:sz="0" w:space="0" w:color="auto"/>
        <w:right w:val="none" w:sz="0" w:space="0" w:color="auto"/>
      </w:divBdr>
    </w:div>
    <w:div w:id="1309633410">
      <w:bodyDiv w:val="1"/>
      <w:marLeft w:val="0"/>
      <w:marRight w:val="0"/>
      <w:marTop w:val="0"/>
      <w:marBottom w:val="0"/>
      <w:divBdr>
        <w:top w:val="none" w:sz="0" w:space="0" w:color="auto"/>
        <w:left w:val="none" w:sz="0" w:space="0" w:color="auto"/>
        <w:bottom w:val="none" w:sz="0" w:space="0" w:color="auto"/>
        <w:right w:val="none" w:sz="0" w:space="0" w:color="auto"/>
      </w:divBdr>
    </w:div>
    <w:div w:id="1458523689">
      <w:bodyDiv w:val="1"/>
      <w:marLeft w:val="0"/>
      <w:marRight w:val="0"/>
      <w:marTop w:val="0"/>
      <w:marBottom w:val="0"/>
      <w:divBdr>
        <w:top w:val="none" w:sz="0" w:space="0" w:color="auto"/>
        <w:left w:val="none" w:sz="0" w:space="0" w:color="auto"/>
        <w:bottom w:val="none" w:sz="0" w:space="0" w:color="auto"/>
        <w:right w:val="none" w:sz="0" w:space="0" w:color="auto"/>
      </w:divBdr>
    </w:div>
    <w:div w:id="1637954453">
      <w:bodyDiv w:val="1"/>
      <w:marLeft w:val="0"/>
      <w:marRight w:val="0"/>
      <w:marTop w:val="0"/>
      <w:marBottom w:val="0"/>
      <w:divBdr>
        <w:top w:val="none" w:sz="0" w:space="0" w:color="auto"/>
        <w:left w:val="none" w:sz="0" w:space="0" w:color="auto"/>
        <w:bottom w:val="none" w:sz="0" w:space="0" w:color="auto"/>
        <w:right w:val="none" w:sz="0" w:space="0" w:color="auto"/>
      </w:divBdr>
    </w:div>
    <w:div w:id="1692561998">
      <w:bodyDiv w:val="1"/>
      <w:marLeft w:val="0"/>
      <w:marRight w:val="0"/>
      <w:marTop w:val="0"/>
      <w:marBottom w:val="0"/>
      <w:divBdr>
        <w:top w:val="none" w:sz="0" w:space="0" w:color="auto"/>
        <w:left w:val="none" w:sz="0" w:space="0" w:color="auto"/>
        <w:bottom w:val="none" w:sz="0" w:space="0" w:color="auto"/>
        <w:right w:val="none" w:sz="0" w:space="0" w:color="auto"/>
      </w:divBdr>
    </w:div>
    <w:div w:id="187526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C8E024755304D8F906B9E0E722504" ma:contentTypeVersion="10" ma:contentTypeDescription="Create a new document." ma:contentTypeScope="" ma:versionID="7e1f9e558de7be643365dad27a445296">
  <xsd:schema xmlns:xsd="http://www.w3.org/2001/XMLSchema" xmlns:xs="http://www.w3.org/2001/XMLSchema" xmlns:p="http://schemas.microsoft.com/office/2006/metadata/properties" xmlns:ns3="a52bb0f4-9bf2-43d6-a69a-0f4fe5d167d6" xmlns:ns4="c25bf425-be04-49cb-ae3a-9c839d7e549d" targetNamespace="http://schemas.microsoft.com/office/2006/metadata/properties" ma:root="true" ma:fieldsID="b7bd669e662047c0bb006100bfc2556d" ns3:_="" ns4:_="">
    <xsd:import namespace="a52bb0f4-9bf2-43d6-a69a-0f4fe5d167d6"/>
    <xsd:import namespace="c25bf425-be04-49cb-ae3a-9c839d7e54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bb0f4-9bf2-43d6-a69a-0f4fe5d16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5bf425-be04-49cb-ae3a-9c839d7e54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00F4F4-DEFC-4A89-842C-C6171330B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bb0f4-9bf2-43d6-a69a-0f4fe5d167d6"/>
    <ds:schemaRef ds:uri="c25bf425-be04-49cb-ae3a-9c839d7e5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018CF-D883-4B8C-98E9-1426A59231AB}">
  <ds:schemaRefs>
    <ds:schemaRef ds:uri="http://schemas.microsoft.com/sharepoint/v3/contenttype/forms"/>
  </ds:schemaRefs>
</ds:datastoreItem>
</file>

<file path=customXml/itemProps3.xml><?xml version="1.0" encoding="utf-8"?>
<ds:datastoreItem xmlns:ds="http://schemas.openxmlformats.org/officeDocument/2006/customXml" ds:itemID="{7B9278B7-7A74-4C55-BB1C-30F9AF26AE0C}">
  <ds:schemaRefs>
    <ds:schemaRef ds:uri="http://schemas.openxmlformats.org/officeDocument/2006/bibliography"/>
  </ds:schemaRefs>
</ds:datastoreItem>
</file>

<file path=customXml/itemProps4.xml><?xml version="1.0" encoding="utf-8"?>
<ds:datastoreItem xmlns:ds="http://schemas.openxmlformats.org/officeDocument/2006/customXml" ds:itemID="{583E6315-47E3-4FA8-A8AD-7C3CD681A0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Rodrigo</dc:creator>
  <cp:lastModifiedBy>Flynn, Christopher</cp:lastModifiedBy>
  <cp:revision>6</cp:revision>
  <cp:lastPrinted>2015-04-06T18:26:00Z</cp:lastPrinted>
  <dcterms:created xsi:type="dcterms:W3CDTF">2022-10-18T14:51:00Z</dcterms:created>
  <dcterms:modified xsi:type="dcterms:W3CDTF">2022-10-18T20:18:00Z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0x010100C8AC8E024755304D8F906B9E0E722504</vt:lpwstr>
  </property>
</Properties>
</file>