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C6F9F" w14:textId="53EDFB73" w:rsidR="00894E5D" w:rsidRDefault="00B95066" w:rsidP="00A86BAE">
      <w:pPr>
        <w:ind w:left="-1080"/>
        <w:rPr>
          <w:sz w:val="44"/>
          <w:szCs w:val="44"/>
        </w:rPr>
      </w:pPr>
      <w:r w:rsidRPr="008D38C0">
        <w:rPr>
          <w:rFonts w:ascii="Cambria" w:eastAsia="MS Mincho" w:hAnsi="Cambria" w:cs="Times New Roman"/>
          <w:noProof/>
          <w:szCs w:val="24"/>
        </w:rPr>
        <mc:AlternateContent>
          <mc:Choice Requires="wps">
            <w:drawing>
              <wp:anchor distT="0" distB="0" distL="114300" distR="114300" simplePos="0" relativeHeight="251662336" behindDoc="0" locked="0" layoutInCell="1" allowOverlap="1" wp14:anchorId="0FDED651" wp14:editId="30F57933">
                <wp:simplePos x="0" y="0"/>
                <wp:positionH relativeFrom="margin">
                  <wp:posOffset>-114300</wp:posOffset>
                </wp:positionH>
                <wp:positionV relativeFrom="paragraph">
                  <wp:posOffset>8001000</wp:posOffset>
                </wp:positionV>
                <wp:extent cx="6343650" cy="461010"/>
                <wp:effectExtent l="0" t="0" r="0" b="0"/>
                <wp:wrapNone/>
                <wp:docPr id="1" name="Text Box 1"/>
                <wp:cNvGraphicFramePr/>
                <a:graphic xmlns:a="http://schemas.openxmlformats.org/drawingml/2006/main">
                  <a:graphicData uri="http://schemas.microsoft.com/office/word/2010/wordprocessingShape">
                    <wps:wsp>
                      <wps:cNvSpPr txBox="1"/>
                      <wps:spPr>
                        <a:xfrm>
                          <a:off x="0" y="0"/>
                          <a:ext cx="6343650" cy="4610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C1A3DAA" w14:textId="77777777" w:rsidR="006044F1" w:rsidRPr="008D38C0" w:rsidRDefault="006044F1" w:rsidP="008D38C0">
                            <w:pPr>
                              <w:rPr>
                                <w:b/>
                                <w:color w:val="FFFFFF"/>
                              </w:rPr>
                            </w:pPr>
                            <w:r w:rsidRPr="008D38C0">
                              <w:rPr>
                                <w:rFonts w:eastAsia="Times New Roman" w:cs="Times New Roman"/>
                                <w:b/>
                                <w:color w:val="FFFFFF"/>
                              </w:rPr>
                              <w:t>1010 W. Nevada, Suite 2080 | Urbana, IL 61801  |  (217) 333-5837  |  www.cfrc.illinois.edu</w:t>
                            </w:r>
                          </w:p>
                          <w:p w14:paraId="75BC959F" w14:textId="77777777" w:rsidR="006044F1" w:rsidRPr="008D38C0" w:rsidRDefault="006044F1" w:rsidP="008D38C0">
                            <w:pPr>
                              <w:jc w:val="center"/>
                              <w:rPr>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ED651" id="_x0000_t202" coordsize="21600,21600" o:spt="202" path="m,l,21600r21600,l21600,xe">
                <v:stroke joinstyle="miter"/>
                <v:path gradientshapeok="t" o:connecttype="rect"/>
              </v:shapetype>
              <v:shape id="Text Box 1" o:spid="_x0000_s1026" type="#_x0000_t202" style="position:absolute;left:0;text-align:left;margin-left:-9pt;margin-top:630pt;width:499.5pt;height:3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" filled="f" stroked="f">
                <v:textbox>
                  <w:txbxContent>
                    <w:p w14:paraId="5C1A3DAA" w14:textId="77777777" w:rsidR="006044F1" w:rsidRPr="008D38C0" w:rsidRDefault="006044F1" w:rsidP="008D38C0">
                      <w:pPr>
                        <w:rPr>
                          <w:b/>
                          <w:color w:val="FFFFFF"/>
                        </w:rPr>
                      </w:pPr>
                      <w:r w:rsidRPr="008D38C0">
                        <w:rPr>
                          <w:rFonts w:eastAsia="Times New Roman" w:cs="Times New Roman"/>
                          <w:b/>
                          <w:color w:val="FFFFFF"/>
                        </w:rPr>
                        <w:t>1010 W. Nevada, Suite 2080 | Urbana, IL 61801  |  (217) 333-5837  |  www.cfrc.illinois.edu</w:t>
                      </w:r>
                    </w:p>
                    <w:p w14:paraId="75BC959F" w14:textId="77777777" w:rsidR="006044F1" w:rsidRPr="008D38C0" w:rsidRDefault="006044F1" w:rsidP="008D38C0">
                      <w:pPr>
                        <w:jc w:val="center"/>
                        <w:rPr>
                          <w:color w:val="FFFFFF"/>
                          <w:sz w:val="28"/>
                          <w:szCs w:val="28"/>
                        </w:rPr>
                      </w:pPr>
                    </w:p>
                  </w:txbxContent>
                </v:textbox>
                <w10:wrap anchorx="margin"/>
              </v:shape>
            </w:pict>
          </mc:Fallback>
        </mc:AlternateContent>
      </w:r>
      <w:r w:rsidR="0026297D">
        <w:rPr>
          <w:noProof/>
        </w:rPr>
        <mc:AlternateContent>
          <mc:Choice Requires="wps">
            <w:drawing>
              <wp:anchor distT="0" distB="0" distL="114300" distR="114300" simplePos="0" relativeHeight="251657216" behindDoc="0" locked="0" layoutInCell="1" allowOverlap="1" wp14:anchorId="12E665C2" wp14:editId="6BD4576C">
                <wp:simplePos x="0" y="0"/>
                <wp:positionH relativeFrom="column">
                  <wp:posOffset>-676275</wp:posOffset>
                </wp:positionH>
                <wp:positionV relativeFrom="paragraph">
                  <wp:posOffset>4476750</wp:posOffset>
                </wp:positionV>
                <wp:extent cx="7315200" cy="9429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315200" cy="9429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606BEC" w14:textId="77777777" w:rsidR="00093D59" w:rsidRDefault="00093D59" w:rsidP="0026297D">
                            <w:pPr>
                              <w:spacing w:before="120" w:after="0"/>
                              <w:jc w:val="center"/>
                              <w:rPr>
                                <w:rFonts w:cstheme="minorHAnsi"/>
                                <w:b/>
                                <w:color w:val="FFFFFF" w:themeColor="background1"/>
                                <w:sz w:val="36"/>
                                <w:szCs w:val="32"/>
                              </w:rPr>
                            </w:pPr>
                            <w:r>
                              <w:rPr>
                                <w:rFonts w:cstheme="minorHAnsi"/>
                                <w:b/>
                                <w:color w:val="FFFFFF" w:themeColor="background1"/>
                                <w:sz w:val="36"/>
                                <w:szCs w:val="32"/>
                              </w:rPr>
                              <w:t xml:space="preserve">Child Welfare Workforce Task Force: </w:t>
                            </w:r>
                          </w:p>
                          <w:p w14:paraId="641F3DAF" w14:textId="6BB6E24D" w:rsidR="006044F1" w:rsidRPr="008500EA" w:rsidRDefault="00093D59" w:rsidP="0026297D">
                            <w:pPr>
                              <w:spacing w:before="120" w:after="0"/>
                              <w:jc w:val="center"/>
                              <w:rPr>
                                <w:b/>
                                <w:bCs/>
                                <w:color w:val="FFFFFF" w:themeColor="background1"/>
                                <w:sz w:val="36"/>
                                <w:szCs w:val="40"/>
                              </w:rPr>
                            </w:pPr>
                            <w:r>
                              <w:rPr>
                                <w:rFonts w:cstheme="minorHAnsi"/>
                                <w:b/>
                                <w:color w:val="FFFFFF" w:themeColor="background1"/>
                                <w:sz w:val="36"/>
                                <w:szCs w:val="32"/>
                              </w:rPr>
                              <w:t xml:space="preserve">Literature </w:t>
                            </w:r>
                            <w:r w:rsidR="006044F1">
                              <w:rPr>
                                <w:rFonts w:cstheme="minorHAnsi"/>
                                <w:b/>
                                <w:color w:val="FFFFFF" w:themeColor="background1"/>
                                <w:sz w:val="36"/>
                                <w:szCs w:val="32"/>
                              </w:rPr>
                              <w:t>Review</w:t>
                            </w:r>
                            <w:r>
                              <w:rPr>
                                <w:rFonts w:cstheme="minorHAnsi"/>
                                <w:b/>
                                <w:color w:val="FFFFFF" w:themeColor="background1"/>
                                <w:sz w:val="36"/>
                                <w:szCs w:val="32"/>
                              </w:rPr>
                              <w:t>, Employer Survey, and Recommendations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665C2" id="Text Box 10" o:spid="_x0000_s1027" type="#_x0000_t202" style="position:absolute;left:0;text-align:left;margin-left:-53.25pt;margin-top:352.5pt;width:8in;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" filled="f" stroked="f">
                <v:textbox>
                  <w:txbxContent>
                    <w:p w14:paraId="0B606BEC" w14:textId="77777777" w:rsidR="00093D59" w:rsidRDefault="00093D59" w:rsidP="0026297D">
                      <w:pPr>
                        <w:spacing w:before="120" w:after="0"/>
                        <w:jc w:val="center"/>
                        <w:rPr>
                          <w:rFonts w:cstheme="minorHAnsi"/>
                          <w:b/>
                          <w:color w:val="FFFFFF" w:themeColor="background1"/>
                          <w:sz w:val="36"/>
                          <w:szCs w:val="32"/>
                        </w:rPr>
                      </w:pPr>
                      <w:r>
                        <w:rPr>
                          <w:rFonts w:cstheme="minorHAnsi"/>
                          <w:b/>
                          <w:color w:val="FFFFFF" w:themeColor="background1"/>
                          <w:sz w:val="36"/>
                          <w:szCs w:val="32"/>
                        </w:rPr>
                        <w:t xml:space="preserve">Child Welfare Workforce Task Force: </w:t>
                      </w:r>
                    </w:p>
                    <w:p w14:paraId="641F3DAF" w14:textId="6BB6E24D" w:rsidR="006044F1" w:rsidRPr="008500EA" w:rsidRDefault="00093D59" w:rsidP="0026297D">
                      <w:pPr>
                        <w:spacing w:before="120" w:after="0"/>
                        <w:jc w:val="center"/>
                        <w:rPr>
                          <w:b/>
                          <w:bCs/>
                          <w:color w:val="FFFFFF" w:themeColor="background1"/>
                          <w:sz w:val="36"/>
                          <w:szCs w:val="40"/>
                        </w:rPr>
                      </w:pPr>
                      <w:r>
                        <w:rPr>
                          <w:rFonts w:cstheme="minorHAnsi"/>
                          <w:b/>
                          <w:color w:val="FFFFFF" w:themeColor="background1"/>
                          <w:sz w:val="36"/>
                          <w:szCs w:val="32"/>
                        </w:rPr>
                        <w:t xml:space="preserve">Literature </w:t>
                      </w:r>
                      <w:r w:rsidR="006044F1">
                        <w:rPr>
                          <w:rFonts w:cstheme="minorHAnsi"/>
                          <w:b/>
                          <w:color w:val="FFFFFF" w:themeColor="background1"/>
                          <w:sz w:val="36"/>
                          <w:szCs w:val="32"/>
                        </w:rPr>
                        <w:t>Review</w:t>
                      </w:r>
                      <w:r>
                        <w:rPr>
                          <w:rFonts w:cstheme="minorHAnsi"/>
                          <w:b/>
                          <w:color w:val="FFFFFF" w:themeColor="background1"/>
                          <w:sz w:val="36"/>
                          <w:szCs w:val="32"/>
                        </w:rPr>
                        <w:t>, Employer Survey, and Recommendations</w:t>
                      </w:r>
                    </w:p>
                  </w:txbxContent>
                </v:textbox>
              </v:shape>
            </w:pict>
          </mc:Fallback>
        </mc:AlternateContent>
      </w:r>
      <w:r w:rsidR="008941E8" w:rsidRPr="00B516ED">
        <w:rPr>
          <w:noProof/>
        </w:rPr>
        <mc:AlternateContent>
          <mc:Choice Requires="wps">
            <w:drawing>
              <wp:anchor distT="0" distB="0" distL="114300" distR="114300" simplePos="0" relativeHeight="251660288" behindDoc="0" locked="0" layoutInCell="1" allowOverlap="1" wp14:anchorId="775A1D14" wp14:editId="7B912319">
                <wp:simplePos x="0" y="0"/>
                <wp:positionH relativeFrom="margin">
                  <wp:posOffset>-190500</wp:posOffset>
                </wp:positionH>
                <wp:positionV relativeFrom="paragraph">
                  <wp:posOffset>5586095</wp:posOffset>
                </wp:positionV>
                <wp:extent cx="6161405" cy="2787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161405" cy="2787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679066" w14:textId="77777777" w:rsidR="006044F1" w:rsidRPr="008500EA" w:rsidRDefault="006044F1" w:rsidP="00A86BAE">
                            <w:pPr>
                              <w:jc w:val="center"/>
                              <w:rPr>
                                <w:b/>
                                <w:bCs/>
                                <w:color w:val="FFFFFF" w:themeColor="background1"/>
                                <w:sz w:val="32"/>
                                <w:szCs w:val="32"/>
                              </w:rPr>
                            </w:pPr>
                          </w:p>
                          <w:p w14:paraId="6ECE251A" w14:textId="4D071615" w:rsidR="00BF1078" w:rsidRDefault="00BF1078" w:rsidP="00BF1078">
                            <w:pPr>
                              <w:spacing w:after="0"/>
                              <w:jc w:val="center"/>
                              <w:rPr>
                                <w:b/>
                                <w:bCs/>
                                <w:color w:val="FFFFFF" w:themeColor="background1"/>
                                <w:sz w:val="32"/>
                                <w:szCs w:val="32"/>
                                <w:lang w:val="es-MX"/>
                              </w:rPr>
                            </w:pPr>
                          </w:p>
                          <w:p w14:paraId="5B69502B" w14:textId="77777777" w:rsidR="00BF1078" w:rsidRPr="00B30D43" w:rsidDel="00B95066" w:rsidRDefault="00BF1078" w:rsidP="008C2E79">
                            <w:pPr>
                              <w:spacing w:after="0"/>
                              <w:jc w:val="center"/>
                              <w:rPr>
                                <w:b/>
                                <w:bCs/>
                                <w:color w:val="FFFFFF" w:themeColor="background1"/>
                                <w:sz w:val="32"/>
                                <w:szCs w:val="32"/>
                                <w:lang w:val="es-MX"/>
                              </w:rPr>
                            </w:pPr>
                          </w:p>
                          <w:p w14:paraId="0790DF9D" w14:textId="374F053C" w:rsidR="006044F1" w:rsidRPr="00B1383D" w:rsidRDefault="005808D4" w:rsidP="008D38C0">
                            <w:pPr>
                              <w:jc w:val="center"/>
                              <w:rPr>
                                <w:b/>
                                <w:bCs/>
                                <w:color w:val="FFFFFF" w:themeColor="background1"/>
                                <w:sz w:val="40"/>
                                <w:szCs w:val="40"/>
                              </w:rPr>
                            </w:pPr>
                            <w:r w:rsidRPr="00B1383D">
                              <w:rPr>
                                <w:b/>
                                <w:bCs/>
                                <w:color w:val="FFFFFF" w:themeColor="background1"/>
                                <w:sz w:val="40"/>
                                <w:szCs w:val="40"/>
                              </w:rPr>
                              <w:t xml:space="preserve">October </w:t>
                            </w:r>
                            <w:r w:rsidR="006044F1" w:rsidRPr="00B1383D">
                              <w:rPr>
                                <w:b/>
                                <w:bCs/>
                                <w:color w:val="FFFFFF" w:themeColor="background1"/>
                                <w:sz w:val="40"/>
                                <w:szCs w:val="40"/>
                              </w:rPr>
                              <w:t>2020</w:t>
                            </w:r>
                          </w:p>
                          <w:p w14:paraId="57767834" w14:textId="618A7518" w:rsidR="006044F1" w:rsidRPr="008500EA" w:rsidRDefault="006044F1" w:rsidP="008D38C0">
                            <w:pPr>
                              <w:jc w:val="center"/>
                              <w:rPr>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A1D14" id="Text Box 4" o:spid="_x0000_s1028" type="#_x0000_t202" style="position:absolute;left:0;text-align:left;margin-left:-15pt;margin-top:439.85pt;width:485.15pt;height:21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" filled="f" stroked="f">
                <v:textbox>
                  <w:txbxContent>
                    <w:p w14:paraId="32679066" w14:textId="77777777" w:rsidR="006044F1" w:rsidRPr="008500EA" w:rsidRDefault="006044F1" w:rsidP="00A86BAE">
                      <w:pPr>
                        <w:jc w:val="center"/>
                        <w:rPr>
                          <w:b/>
                          <w:bCs/>
                          <w:color w:val="FFFFFF" w:themeColor="background1"/>
                          <w:sz w:val="32"/>
                          <w:szCs w:val="32"/>
                        </w:rPr>
                      </w:pPr>
                    </w:p>
                    <w:p w14:paraId="6ECE251A" w14:textId="4D071615" w:rsidR="00BF1078" w:rsidRDefault="00BF1078" w:rsidP="00BF1078">
                      <w:pPr>
                        <w:spacing w:after="0"/>
                        <w:jc w:val="center"/>
                        <w:rPr>
                          <w:b/>
                          <w:bCs/>
                          <w:color w:val="FFFFFF" w:themeColor="background1"/>
                          <w:sz w:val="32"/>
                          <w:szCs w:val="32"/>
                          <w:lang w:val="es-MX"/>
                        </w:rPr>
                      </w:pPr>
                    </w:p>
                    <w:p w14:paraId="5B69502B" w14:textId="77777777" w:rsidR="00BF1078" w:rsidRPr="00B30D43" w:rsidDel="00B95066" w:rsidRDefault="00BF1078" w:rsidP="008C2E79">
                      <w:pPr>
                        <w:spacing w:after="0"/>
                        <w:jc w:val="center"/>
                        <w:rPr>
                          <w:b/>
                          <w:bCs/>
                          <w:color w:val="FFFFFF" w:themeColor="background1"/>
                          <w:sz w:val="32"/>
                          <w:szCs w:val="32"/>
                          <w:lang w:val="es-MX"/>
                        </w:rPr>
                      </w:pPr>
                    </w:p>
                    <w:p w14:paraId="0790DF9D" w14:textId="374F053C" w:rsidR="006044F1" w:rsidRPr="00B1383D" w:rsidRDefault="005808D4" w:rsidP="008D38C0">
                      <w:pPr>
                        <w:jc w:val="center"/>
                        <w:rPr>
                          <w:b/>
                          <w:bCs/>
                          <w:color w:val="FFFFFF" w:themeColor="background1"/>
                          <w:sz w:val="40"/>
                          <w:szCs w:val="40"/>
                        </w:rPr>
                      </w:pPr>
                      <w:r w:rsidRPr="00B1383D">
                        <w:rPr>
                          <w:b/>
                          <w:bCs/>
                          <w:color w:val="FFFFFF" w:themeColor="background1"/>
                          <w:sz w:val="40"/>
                          <w:szCs w:val="40"/>
                        </w:rPr>
                        <w:t xml:space="preserve">October </w:t>
                      </w:r>
                      <w:r w:rsidR="006044F1" w:rsidRPr="00B1383D">
                        <w:rPr>
                          <w:b/>
                          <w:bCs/>
                          <w:color w:val="FFFFFF" w:themeColor="background1"/>
                          <w:sz w:val="40"/>
                          <w:szCs w:val="40"/>
                        </w:rPr>
                        <w:t>2020</w:t>
                      </w:r>
                    </w:p>
                    <w:p w14:paraId="57767834" w14:textId="618A7518" w:rsidR="006044F1" w:rsidRPr="008500EA" w:rsidRDefault="006044F1" w:rsidP="008D38C0">
                      <w:pPr>
                        <w:jc w:val="center"/>
                        <w:rPr>
                          <w:b/>
                          <w:bCs/>
                          <w:color w:val="FFFFFF" w:themeColor="background1"/>
                          <w:sz w:val="32"/>
                          <w:szCs w:val="32"/>
                        </w:rPr>
                      </w:pPr>
                    </w:p>
                  </w:txbxContent>
                </v:textbox>
                <w10:wrap anchorx="margin"/>
              </v:shape>
            </w:pict>
          </mc:Fallback>
        </mc:AlternateContent>
      </w:r>
      <w:r w:rsidR="00A86BAE">
        <w:rPr>
          <w:noProof/>
        </w:rPr>
        <w:drawing>
          <wp:inline distT="0" distB="0" distL="0" distR="0" wp14:anchorId="2BF00396" wp14:editId="31C65FDE">
            <wp:extent cx="7315200" cy="9466579"/>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C_report_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23472" cy="9477284"/>
                    </a:xfrm>
                    <a:prstGeom prst="rect">
                      <a:avLst/>
                    </a:prstGeom>
                  </pic:spPr>
                </pic:pic>
              </a:graphicData>
            </a:graphic>
          </wp:inline>
        </w:drawing>
      </w:r>
    </w:p>
    <w:p w14:paraId="00431788" w14:textId="13F5EB60" w:rsidR="008B71D6" w:rsidRDefault="008B71D6" w:rsidP="00894E5D">
      <w:pPr>
        <w:ind w:left="-990"/>
      </w:pPr>
    </w:p>
    <w:sdt>
      <w:sdtPr>
        <w:rPr>
          <w:rFonts w:eastAsiaTheme="minorEastAsia" w:cstheme="minorBidi"/>
          <w:b w:val="0"/>
          <w:bCs w:val="0"/>
          <w:color w:val="auto"/>
          <w:sz w:val="24"/>
          <w:szCs w:val="22"/>
          <w:lang w:eastAsia="en-US"/>
        </w:rPr>
        <w:id w:val="-1469742139"/>
        <w:docPartObj>
          <w:docPartGallery w:val="Table of Contents"/>
          <w:docPartUnique/>
        </w:docPartObj>
      </w:sdtPr>
      <w:sdtEndPr>
        <w:rPr>
          <w:noProof/>
        </w:rPr>
      </w:sdtEndPr>
      <w:sdtContent>
        <w:p w14:paraId="28EA7E0C" w14:textId="77777777" w:rsidR="007B27F6" w:rsidRPr="00A755D0" w:rsidRDefault="0081549F">
          <w:pPr>
            <w:pStyle w:val="TOCHeading"/>
            <w:rPr>
              <w:sz w:val="32"/>
              <w:szCs w:val="32"/>
            </w:rPr>
          </w:pPr>
          <w:r w:rsidRPr="00A755D0">
            <w:rPr>
              <w:sz w:val="32"/>
              <w:szCs w:val="32"/>
            </w:rPr>
            <w:t>T</w:t>
          </w:r>
          <w:r w:rsidR="007B27F6" w:rsidRPr="00A755D0">
            <w:rPr>
              <w:sz w:val="32"/>
              <w:szCs w:val="32"/>
            </w:rPr>
            <w:t>able of Contents</w:t>
          </w:r>
        </w:p>
        <w:p w14:paraId="24567C56" w14:textId="041BE71E" w:rsidR="008E6C49" w:rsidRPr="008E6C49" w:rsidRDefault="007B27F6">
          <w:pPr>
            <w:pStyle w:val="TOC1"/>
            <w:tabs>
              <w:tab w:val="right" w:leader="dot" w:pos="9350"/>
            </w:tabs>
            <w:rPr>
              <w:rFonts w:asciiTheme="minorHAnsi" w:hAnsiTheme="minorHAnsi"/>
              <w:noProof/>
              <w:sz w:val="22"/>
            </w:rPr>
          </w:pPr>
          <w:r>
            <w:fldChar w:fldCharType="begin"/>
          </w:r>
          <w:r>
            <w:instrText xml:space="preserve"> TOC \o "1-3" \h \z \u </w:instrText>
          </w:r>
          <w:r>
            <w:fldChar w:fldCharType="separate"/>
          </w:r>
          <w:bookmarkStart w:id="0" w:name="_GoBack"/>
          <w:r w:rsidR="008E6C49" w:rsidRPr="008E6C49">
            <w:rPr>
              <w:rStyle w:val="Hyperlink"/>
              <w:noProof/>
            </w:rPr>
            <w:fldChar w:fldCharType="begin"/>
          </w:r>
          <w:r w:rsidR="008E6C49" w:rsidRPr="008E6C49">
            <w:rPr>
              <w:rStyle w:val="Hyperlink"/>
              <w:noProof/>
            </w:rPr>
            <w:instrText xml:space="preserve"> </w:instrText>
          </w:r>
          <w:r w:rsidR="008E6C49" w:rsidRPr="008E6C49">
            <w:rPr>
              <w:noProof/>
            </w:rPr>
            <w:instrText>HYPERLINK \l "_Toc52403556"</w:instrText>
          </w:r>
          <w:r w:rsidR="008E6C49" w:rsidRPr="008E6C49">
            <w:rPr>
              <w:rStyle w:val="Hyperlink"/>
              <w:noProof/>
            </w:rPr>
            <w:instrText xml:space="preserve"> </w:instrText>
          </w:r>
          <w:r w:rsidR="008E6C49" w:rsidRPr="008E6C49">
            <w:rPr>
              <w:rStyle w:val="Hyperlink"/>
              <w:noProof/>
            </w:rPr>
          </w:r>
          <w:r w:rsidR="008E6C49" w:rsidRPr="008E6C49">
            <w:rPr>
              <w:rStyle w:val="Hyperlink"/>
              <w:noProof/>
            </w:rPr>
            <w:fldChar w:fldCharType="separate"/>
          </w:r>
          <w:r w:rsidR="008E6C49" w:rsidRPr="008E6C49">
            <w:rPr>
              <w:rStyle w:val="Hyperlink"/>
              <w:noProof/>
            </w:rPr>
            <w:t>Chapter 1:  History and Purpose of the Child Welfare Workforce Task Force</w:t>
          </w:r>
          <w:r w:rsidR="008E6C49" w:rsidRPr="008E6C49">
            <w:rPr>
              <w:noProof/>
              <w:webHidden/>
            </w:rPr>
            <w:tab/>
          </w:r>
          <w:r w:rsidR="008E6C49" w:rsidRPr="008E6C49">
            <w:rPr>
              <w:noProof/>
              <w:webHidden/>
            </w:rPr>
            <w:fldChar w:fldCharType="begin"/>
          </w:r>
          <w:r w:rsidR="008E6C49" w:rsidRPr="008E6C49">
            <w:rPr>
              <w:noProof/>
              <w:webHidden/>
            </w:rPr>
            <w:instrText xml:space="preserve"> PAGEREF _Toc52403556 \h </w:instrText>
          </w:r>
          <w:r w:rsidR="008E6C49" w:rsidRPr="008E6C49">
            <w:rPr>
              <w:noProof/>
              <w:webHidden/>
            </w:rPr>
          </w:r>
          <w:r w:rsidR="008E6C49" w:rsidRPr="008E6C49">
            <w:rPr>
              <w:noProof/>
              <w:webHidden/>
            </w:rPr>
            <w:fldChar w:fldCharType="separate"/>
          </w:r>
          <w:r w:rsidR="008E6C49" w:rsidRPr="008E6C49">
            <w:rPr>
              <w:noProof/>
              <w:webHidden/>
            </w:rPr>
            <w:t>3</w:t>
          </w:r>
          <w:r w:rsidR="008E6C49" w:rsidRPr="008E6C49">
            <w:rPr>
              <w:noProof/>
              <w:webHidden/>
            </w:rPr>
            <w:fldChar w:fldCharType="end"/>
          </w:r>
          <w:r w:rsidR="008E6C49" w:rsidRPr="008E6C49">
            <w:rPr>
              <w:rStyle w:val="Hyperlink"/>
              <w:noProof/>
            </w:rPr>
            <w:fldChar w:fldCharType="end"/>
          </w:r>
        </w:p>
        <w:p w14:paraId="24ECA664" w14:textId="38A463B8" w:rsidR="008E6C49" w:rsidRPr="008E6C49" w:rsidRDefault="008E6C49">
          <w:pPr>
            <w:pStyle w:val="TOC1"/>
            <w:tabs>
              <w:tab w:val="right" w:leader="dot" w:pos="9350"/>
            </w:tabs>
            <w:rPr>
              <w:rFonts w:asciiTheme="minorHAnsi" w:hAnsiTheme="minorHAnsi"/>
              <w:noProof/>
              <w:sz w:val="22"/>
            </w:rPr>
          </w:pPr>
          <w:hyperlink w:anchor="_Toc52403557" w:history="1">
            <w:r w:rsidRPr="008E6C49">
              <w:rPr>
                <w:rStyle w:val="Hyperlink"/>
                <w:noProof/>
              </w:rPr>
              <w:t>Chapter 2:  Literature Review</w:t>
            </w:r>
            <w:r w:rsidRPr="008E6C49">
              <w:rPr>
                <w:noProof/>
                <w:webHidden/>
              </w:rPr>
              <w:tab/>
            </w:r>
            <w:r w:rsidRPr="008E6C49">
              <w:rPr>
                <w:noProof/>
                <w:webHidden/>
              </w:rPr>
              <w:fldChar w:fldCharType="begin"/>
            </w:r>
            <w:r w:rsidRPr="008E6C49">
              <w:rPr>
                <w:noProof/>
                <w:webHidden/>
              </w:rPr>
              <w:instrText xml:space="preserve"> PAGEREF _Toc52403557 \h </w:instrText>
            </w:r>
            <w:r w:rsidRPr="008E6C49">
              <w:rPr>
                <w:noProof/>
                <w:webHidden/>
              </w:rPr>
            </w:r>
            <w:r w:rsidRPr="008E6C49">
              <w:rPr>
                <w:noProof/>
                <w:webHidden/>
              </w:rPr>
              <w:fldChar w:fldCharType="separate"/>
            </w:r>
            <w:r w:rsidRPr="008E6C49">
              <w:rPr>
                <w:noProof/>
                <w:webHidden/>
              </w:rPr>
              <w:t>4</w:t>
            </w:r>
            <w:r w:rsidRPr="008E6C49">
              <w:rPr>
                <w:noProof/>
                <w:webHidden/>
              </w:rPr>
              <w:fldChar w:fldCharType="end"/>
            </w:r>
          </w:hyperlink>
        </w:p>
        <w:p w14:paraId="25B8182E" w14:textId="0939CCB2" w:rsidR="008E6C49" w:rsidRPr="008E6C49" w:rsidRDefault="008E6C49">
          <w:pPr>
            <w:pStyle w:val="TOC2"/>
            <w:tabs>
              <w:tab w:val="left" w:pos="880"/>
            </w:tabs>
            <w:rPr>
              <w:rFonts w:asciiTheme="minorHAnsi" w:hAnsiTheme="minorHAnsi"/>
              <w:noProof/>
              <w:sz w:val="22"/>
            </w:rPr>
          </w:pPr>
          <w:hyperlink w:anchor="_Toc52403558" w:history="1">
            <w:r w:rsidRPr="008E6C49">
              <w:rPr>
                <w:rStyle w:val="Hyperlink"/>
                <w:noProof/>
              </w:rPr>
              <w:t>2.1</w:t>
            </w:r>
            <w:r w:rsidRPr="008E6C49">
              <w:rPr>
                <w:rFonts w:asciiTheme="minorHAnsi" w:hAnsiTheme="minorHAnsi"/>
                <w:noProof/>
                <w:sz w:val="22"/>
              </w:rPr>
              <w:tab/>
            </w:r>
            <w:r w:rsidRPr="008E6C49">
              <w:rPr>
                <w:rStyle w:val="Hyperlink"/>
                <w:noProof/>
              </w:rPr>
              <w:t>Workforce Turnover and Retention in Child Welfare</w:t>
            </w:r>
            <w:r w:rsidRPr="008E6C49">
              <w:rPr>
                <w:noProof/>
                <w:webHidden/>
              </w:rPr>
              <w:tab/>
            </w:r>
            <w:r w:rsidRPr="008E6C49">
              <w:rPr>
                <w:noProof/>
                <w:webHidden/>
              </w:rPr>
              <w:fldChar w:fldCharType="begin"/>
            </w:r>
            <w:r w:rsidRPr="008E6C49">
              <w:rPr>
                <w:noProof/>
                <w:webHidden/>
              </w:rPr>
              <w:instrText xml:space="preserve"> PAGEREF _Toc52403558 \h </w:instrText>
            </w:r>
            <w:r w:rsidRPr="008E6C49">
              <w:rPr>
                <w:noProof/>
                <w:webHidden/>
              </w:rPr>
            </w:r>
            <w:r w:rsidRPr="008E6C49">
              <w:rPr>
                <w:noProof/>
                <w:webHidden/>
              </w:rPr>
              <w:fldChar w:fldCharType="separate"/>
            </w:r>
            <w:r w:rsidRPr="008E6C49">
              <w:rPr>
                <w:noProof/>
                <w:webHidden/>
              </w:rPr>
              <w:t>4</w:t>
            </w:r>
            <w:r w:rsidRPr="008E6C49">
              <w:rPr>
                <w:noProof/>
                <w:webHidden/>
              </w:rPr>
              <w:fldChar w:fldCharType="end"/>
            </w:r>
          </w:hyperlink>
        </w:p>
        <w:p w14:paraId="22846BFD" w14:textId="26D92CCF" w:rsidR="008E6C49" w:rsidRPr="008E6C49" w:rsidRDefault="008E6C49">
          <w:pPr>
            <w:pStyle w:val="TOC2"/>
            <w:tabs>
              <w:tab w:val="left" w:pos="880"/>
            </w:tabs>
            <w:rPr>
              <w:rFonts w:asciiTheme="minorHAnsi" w:hAnsiTheme="minorHAnsi"/>
              <w:noProof/>
              <w:sz w:val="22"/>
            </w:rPr>
          </w:pPr>
          <w:hyperlink w:anchor="_Toc52403559" w:history="1">
            <w:r w:rsidRPr="008E6C49">
              <w:rPr>
                <w:rStyle w:val="Hyperlink"/>
                <w:noProof/>
              </w:rPr>
              <w:t>2.2</w:t>
            </w:r>
            <w:r w:rsidRPr="008E6C49">
              <w:rPr>
                <w:rFonts w:asciiTheme="minorHAnsi" w:hAnsiTheme="minorHAnsi"/>
                <w:noProof/>
                <w:sz w:val="22"/>
              </w:rPr>
              <w:tab/>
            </w:r>
            <w:r w:rsidRPr="008E6C49">
              <w:rPr>
                <w:rStyle w:val="Hyperlink"/>
                <w:noProof/>
              </w:rPr>
              <w:t>The Impact of Turnover and Retention on Child Welfare System Performance</w:t>
            </w:r>
            <w:r w:rsidRPr="008E6C49">
              <w:rPr>
                <w:noProof/>
                <w:webHidden/>
              </w:rPr>
              <w:tab/>
            </w:r>
            <w:r w:rsidRPr="008E6C49">
              <w:rPr>
                <w:noProof/>
                <w:webHidden/>
              </w:rPr>
              <w:fldChar w:fldCharType="begin"/>
            </w:r>
            <w:r w:rsidRPr="008E6C49">
              <w:rPr>
                <w:noProof/>
                <w:webHidden/>
              </w:rPr>
              <w:instrText xml:space="preserve"> PAGEREF _Toc52403559 \h </w:instrText>
            </w:r>
            <w:r w:rsidRPr="008E6C49">
              <w:rPr>
                <w:noProof/>
                <w:webHidden/>
              </w:rPr>
            </w:r>
            <w:r w:rsidRPr="008E6C49">
              <w:rPr>
                <w:noProof/>
                <w:webHidden/>
              </w:rPr>
              <w:fldChar w:fldCharType="separate"/>
            </w:r>
            <w:r w:rsidRPr="008E6C49">
              <w:rPr>
                <w:noProof/>
                <w:webHidden/>
              </w:rPr>
              <w:t>5</w:t>
            </w:r>
            <w:r w:rsidRPr="008E6C49">
              <w:rPr>
                <w:noProof/>
                <w:webHidden/>
              </w:rPr>
              <w:fldChar w:fldCharType="end"/>
            </w:r>
          </w:hyperlink>
        </w:p>
        <w:p w14:paraId="4D2F8321" w14:textId="7DF7EE0A" w:rsidR="008E6C49" w:rsidRPr="008E6C49" w:rsidRDefault="008E6C49">
          <w:pPr>
            <w:pStyle w:val="TOC2"/>
            <w:tabs>
              <w:tab w:val="left" w:pos="880"/>
            </w:tabs>
            <w:rPr>
              <w:rFonts w:asciiTheme="minorHAnsi" w:hAnsiTheme="minorHAnsi"/>
              <w:noProof/>
              <w:sz w:val="22"/>
            </w:rPr>
          </w:pPr>
          <w:hyperlink w:anchor="_Toc52403560" w:history="1">
            <w:r w:rsidRPr="008E6C49">
              <w:rPr>
                <w:rStyle w:val="Hyperlink"/>
                <w:noProof/>
              </w:rPr>
              <w:t>2.3</w:t>
            </w:r>
            <w:r w:rsidRPr="008E6C49">
              <w:rPr>
                <w:rFonts w:asciiTheme="minorHAnsi" w:hAnsiTheme="minorHAnsi"/>
                <w:noProof/>
                <w:sz w:val="22"/>
              </w:rPr>
              <w:tab/>
            </w:r>
            <w:r w:rsidRPr="008E6C49">
              <w:rPr>
                <w:rStyle w:val="Hyperlink"/>
                <w:noProof/>
              </w:rPr>
              <w:t>Factors Associated with Turnover and Retention</w:t>
            </w:r>
            <w:r w:rsidRPr="008E6C49">
              <w:rPr>
                <w:noProof/>
                <w:webHidden/>
              </w:rPr>
              <w:tab/>
            </w:r>
            <w:r w:rsidRPr="008E6C49">
              <w:rPr>
                <w:noProof/>
                <w:webHidden/>
              </w:rPr>
              <w:fldChar w:fldCharType="begin"/>
            </w:r>
            <w:r w:rsidRPr="008E6C49">
              <w:rPr>
                <w:noProof/>
                <w:webHidden/>
              </w:rPr>
              <w:instrText xml:space="preserve"> PAGEREF _Toc52403560 \h </w:instrText>
            </w:r>
            <w:r w:rsidRPr="008E6C49">
              <w:rPr>
                <w:noProof/>
                <w:webHidden/>
              </w:rPr>
            </w:r>
            <w:r w:rsidRPr="008E6C49">
              <w:rPr>
                <w:noProof/>
                <w:webHidden/>
              </w:rPr>
              <w:fldChar w:fldCharType="separate"/>
            </w:r>
            <w:r w:rsidRPr="008E6C49">
              <w:rPr>
                <w:noProof/>
                <w:webHidden/>
              </w:rPr>
              <w:t>7</w:t>
            </w:r>
            <w:r w:rsidRPr="008E6C49">
              <w:rPr>
                <w:noProof/>
                <w:webHidden/>
              </w:rPr>
              <w:fldChar w:fldCharType="end"/>
            </w:r>
          </w:hyperlink>
        </w:p>
        <w:p w14:paraId="32C66800" w14:textId="7D5246FB" w:rsidR="008E6C49" w:rsidRPr="008E6C49" w:rsidRDefault="008E6C49">
          <w:pPr>
            <w:pStyle w:val="TOC3"/>
            <w:tabs>
              <w:tab w:val="left" w:pos="1320"/>
            </w:tabs>
            <w:rPr>
              <w:rFonts w:asciiTheme="minorHAnsi" w:hAnsiTheme="minorHAnsi"/>
              <w:b w:val="0"/>
              <w:sz w:val="22"/>
            </w:rPr>
          </w:pPr>
          <w:hyperlink w:anchor="_Toc52403561" w:history="1">
            <w:r w:rsidRPr="008E6C49">
              <w:rPr>
                <w:rStyle w:val="Hyperlink"/>
                <w:b w:val="0"/>
              </w:rPr>
              <w:t>2.3.1</w:t>
            </w:r>
            <w:r w:rsidRPr="008E6C49">
              <w:rPr>
                <w:rFonts w:asciiTheme="minorHAnsi" w:hAnsiTheme="minorHAnsi"/>
                <w:b w:val="0"/>
                <w:sz w:val="22"/>
              </w:rPr>
              <w:tab/>
            </w:r>
            <w:r w:rsidRPr="008E6C49">
              <w:rPr>
                <w:rStyle w:val="Hyperlink"/>
                <w:b w:val="0"/>
              </w:rPr>
              <w:t>Caseload</w:t>
            </w:r>
            <w:r w:rsidRPr="008E6C49">
              <w:rPr>
                <w:b w:val="0"/>
                <w:webHidden/>
              </w:rPr>
              <w:tab/>
            </w:r>
            <w:r w:rsidRPr="008E6C49">
              <w:rPr>
                <w:b w:val="0"/>
                <w:webHidden/>
              </w:rPr>
              <w:fldChar w:fldCharType="begin"/>
            </w:r>
            <w:r w:rsidRPr="008E6C49">
              <w:rPr>
                <w:b w:val="0"/>
                <w:webHidden/>
              </w:rPr>
              <w:instrText xml:space="preserve"> PAGEREF _Toc52403561 \h </w:instrText>
            </w:r>
            <w:r w:rsidRPr="008E6C49">
              <w:rPr>
                <w:b w:val="0"/>
                <w:webHidden/>
              </w:rPr>
            </w:r>
            <w:r w:rsidRPr="008E6C49">
              <w:rPr>
                <w:b w:val="0"/>
                <w:webHidden/>
              </w:rPr>
              <w:fldChar w:fldCharType="separate"/>
            </w:r>
            <w:r w:rsidRPr="008E6C49">
              <w:rPr>
                <w:b w:val="0"/>
                <w:webHidden/>
              </w:rPr>
              <w:t>8</w:t>
            </w:r>
            <w:r w:rsidRPr="008E6C49">
              <w:rPr>
                <w:b w:val="0"/>
                <w:webHidden/>
              </w:rPr>
              <w:fldChar w:fldCharType="end"/>
            </w:r>
          </w:hyperlink>
        </w:p>
        <w:p w14:paraId="009087C5" w14:textId="203DFBCF" w:rsidR="008E6C49" w:rsidRPr="008E6C49" w:rsidRDefault="008E6C49">
          <w:pPr>
            <w:pStyle w:val="TOC3"/>
            <w:tabs>
              <w:tab w:val="left" w:pos="1320"/>
            </w:tabs>
            <w:rPr>
              <w:rFonts w:asciiTheme="minorHAnsi" w:hAnsiTheme="minorHAnsi"/>
              <w:b w:val="0"/>
              <w:sz w:val="22"/>
            </w:rPr>
          </w:pPr>
          <w:hyperlink w:anchor="_Toc52403562" w:history="1">
            <w:r w:rsidRPr="008E6C49">
              <w:rPr>
                <w:rStyle w:val="Hyperlink"/>
                <w:b w:val="0"/>
              </w:rPr>
              <w:t>2.3.2</w:t>
            </w:r>
            <w:r w:rsidRPr="008E6C49">
              <w:rPr>
                <w:rFonts w:asciiTheme="minorHAnsi" w:hAnsiTheme="minorHAnsi"/>
                <w:b w:val="0"/>
                <w:sz w:val="22"/>
              </w:rPr>
              <w:tab/>
            </w:r>
            <w:r w:rsidRPr="008E6C49">
              <w:rPr>
                <w:rStyle w:val="Hyperlink"/>
                <w:b w:val="0"/>
              </w:rPr>
              <w:t>Compensation</w:t>
            </w:r>
            <w:r w:rsidRPr="008E6C49">
              <w:rPr>
                <w:b w:val="0"/>
                <w:webHidden/>
              </w:rPr>
              <w:tab/>
            </w:r>
            <w:r w:rsidRPr="008E6C49">
              <w:rPr>
                <w:b w:val="0"/>
                <w:webHidden/>
              </w:rPr>
              <w:fldChar w:fldCharType="begin"/>
            </w:r>
            <w:r w:rsidRPr="008E6C49">
              <w:rPr>
                <w:b w:val="0"/>
                <w:webHidden/>
              </w:rPr>
              <w:instrText xml:space="preserve"> PAGEREF _Toc52403562 \h </w:instrText>
            </w:r>
            <w:r w:rsidRPr="008E6C49">
              <w:rPr>
                <w:b w:val="0"/>
                <w:webHidden/>
              </w:rPr>
            </w:r>
            <w:r w:rsidRPr="008E6C49">
              <w:rPr>
                <w:b w:val="0"/>
                <w:webHidden/>
              </w:rPr>
              <w:fldChar w:fldCharType="separate"/>
            </w:r>
            <w:r w:rsidRPr="008E6C49">
              <w:rPr>
                <w:b w:val="0"/>
                <w:webHidden/>
              </w:rPr>
              <w:t>10</w:t>
            </w:r>
            <w:r w:rsidRPr="008E6C49">
              <w:rPr>
                <w:b w:val="0"/>
                <w:webHidden/>
              </w:rPr>
              <w:fldChar w:fldCharType="end"/>
            </w:r>
          </w:hyperlink>
        </w:p>
        <w:p w14:paraId="43B533C8" w14:textId="5F3F6E85" w:rsidR="008E6C49" w:rsidRPr="008E6C49" w:rsidRDefault="008E6C49">
          <w:pPr>
            <w:pStyle w:val="TOC3"/>
            <w:tabs>
              <w:tab w:val="left" w:pos="1320"/>
            </w:tabs>
            <w:rPr>
              <w:rFonts w:asciiTheme="minorHAnsi" w:hAnsiTheme="minorHAnsi"/>
              <w:b w:val="0"/>
              <w:sz w:val="22"/>
            </w:rPr>
          </w:pPr>
          <w:hyperlink w:anchor="_Toc52403563" w:history="1">
            <w:r w:rsidRPr="008E6C49">
              <w:rPr>
                <w:rStyle w:val="Hyperlink"/>
                <w:b w:val="0"/>
              </w:rPr>
              <w:t>2.3.3</w:t>
            </w:r>
            <w:r w:rsidRPr="008E6C49">
              <w:rPr>
                <w:rFonts w:asciiTheme="minorHAnsi" w:hAnsiTheme="minorHAnsi"/>
                <w:b w:val="0"/>
                <w:sz w:val="22"/>
              </w:rPr>
              <w:tab/>
            </w:r>
            <w:r w:rsidRPr="008E6C49">
              <w:rPr>
                <w:rStyle w:val="Hyperlink"/>
                <w:b w:val="0"/>
              </w:rPr>
              <w:t>Job Satisfaction</w:t>
            </w:r>
            <w:r w:rsidRPr="008E6C49">
              <w:rPr>
                <w:b w:val="0"/>
                <w:webHidden/>
              </w:rPr>
              <w:tab/>
            </w:r>
            <w:r w:rsidRPr="008E6C49">
              <w:rPr>
                <w:b w:val="0"/>
                <w:webHidden/>
              </w:rPr>
              <w:fldChar w:fldCharType="begin"/>
            </w:r>
            <w:r w:rsidRPr="008E6C49">
              <w:rPr>
                <w:b w:val="0"/>
                <w:webHidden/>
              </w:rPr>
              <w:instrText xml:space="preserve"> PAGEREF _Toc52403563 \h </w:instrText>
            </w:r>
            <w:r w:rsidRPr="008E6C49">
              <w:rPr>
                <w:b w:val="0"/>
                <w:webHidden/>
              </w:rPr>
            </w:r>
            <w:r w:rsidRPr="008E6C49">
              <w:rPr>
                <w:b w:val="0"/>
                <w:webHidden/>
              </w:rPr>
              <w:fldChar w:fldCharType="separate"/>
            </w:r>
            <w:r w:rsidRPr="008E6C49">
              <w:rPr>
                <w:b w:val="0"/>
                <w:webHidden/>
              </w:rPr>
              <w:t>11</w:t>
            </w:r>
            <w:r w:rsidRPr="008E6C49">
              <w:rPr>
                <w:b w:val="0"/>
                <w:webHidden/>
              </w:rPr>
              <w:fldChar w:fldCharType="end"/>
            </w:r>
          </w:hyperlink>
        </w:p>
        <w:p w14:paraId="199067BC" w14:textId="7B88D732" w:rsidR="008E6C49" w:rsidRPr="008E6C49" w:rsidRDefault="008E6C49">
          <w:pPr>
            <w:pStyle w:val="TOC3"/>
            <w:tabs>
              <w:tab w:val="left" w:pos="1320"/>
            </w:tabs>
            <w:rPr>
              <w:rFonts w:asciiTheme="minorHAnsi" w:hAnsiTheme="minorHAnsi"/>
              <w:b w:val="0"/>
              <w:sz w:val="22"/>
            </w:rPr>
          </w:pPr>
          <w:hyperlink w:anchor="_Toc52403564" w:history="1">
            <w:r w:rsidRPr="008E6C49">
              <w:rPr>
                <w:rStyle w:val="Hyperlink"/>
                <w:rFonts w:eastAsia="Times New Roman"/>
                <w:b w:val="0"/>
              </w:rPr>
              <w:t>2.3.4</w:t>
            </w:r>
            <w:r w:rsidRPr="008E6C49">
              <w:rPr>
                <w:rFonts w:asciiTheme="minorHAnsi" w:hAnsiTheme="minorHAnsi"/>
                <w:b w:val="0"/>
                <w:sz w:val="22"/>
              </w:rPr>
              <w:tab/>
            </w:r>
            <w:r w:rsidRPr="008E6C49">
              <w:rPr>
                <w:rStyle w:val="Hyperlink"/>
                <w:rFonts w:eastAsia="Times New Roman"/>
                <w:b w:val="0"/>
              </w:rPr>
              <w:t>Organizational Culture</w:t>
            </w:r>
            <w:r w:rsidRPr="008E6C49">
              <w:rPr>
                <w:b w:val="0"/>
                <w:webHidden/>
              </w:rPr>
              <w:tab/>
            </w:r>
            <w:r w:rsidRPr="008E6C49">
              <w:rPr>
                <w:b w:val="0"/>
                <w:webHidden/>
              </w:rPr>
              <w:fldChar w:fldCharType="begin"/>
            </w:r>
            <w:r w:rsidRPr="008E6C49">
              <w:rPr>
                <w:b w:val="0"/>
                <w:webHidden/>
              </w:rPr>
              <w:instrText xml:space="preserve"> PAGEREF _Toc52403564 \h </w:instrText>
            </w:r>
            <w:r w:rsidRPr="008E6C49">
              <w:rPr>
                <w:b w:val="0"/>
                <w:webHidden/>
              </w:rPr>
            </w:r>
            <w:r w:rsidRPr="008E6C49">
              <w:rPr>
                <w:b w:val="0"/>
                <w:webHidden/>
              </w:rPr>
              <w:fldChar w:fldCharType="separate"/>
            </w:r>
            <w:r w:rsidRPr="008E6C49">
              <w:rPr>
                <w:b w:val="0"/>
                <w:webHidden/>
              </w:rPr>
              <w:t>13</w:t>
            </w:r>
            <w:r w:rsidRPr="008E6C49">
              <w:rPr>
                <w:b w:val="0"/>
                <w:webHidden/>
              </w:rPr>
              <w:fldChar w:fldCharType="end"/>
            </w:r>
          </w:hyperlink>
        </w:p>
        <w:p w14:paraId="53E861B3" w14:textId="49AF01D3" w:rsidR="008E6C49" w:rsidRPr="008E6C49" w:rsidRDefault="008E6C49">
          <w:pPr>
            <w:pStyle w:val="TOC3"/>
            <w:tabs>
              <w:tab w:val="left" w:pos="1320"/>
            </w:tabs>
            <w:rPr>
              <w:rFonts w:asciiTheme="minorHAnsi" w:hAnsiTheme="minorHAnsi"/>
              <w:b w:val="0"/>
              <w:sz w:val="22"/>
            </w:rPr>
          </w:pPr>
          <w:hyperlink w:anchor="_Toc52403565" w:history="1">
            <w:r w:rsidRPr="008E6C49">
              <w:rPr>
                <w:rStyle w:val="Hyperlink"/>
                <w:rFonts w:eastAsia="Times New Roman"/>
                <w:b w:val="0"/>
              </w:rPr>
              <w:t>2.3.5</w:t>
            </w:r>
            <w:r w:rsidRPr="008E6C49">
              <w:rPr>
                <w:rFonts w:asciiTheme="minorHAnsi" w:hAnsiTheme="minorHAnsi"/>
                <w:b w:val="0"/>
                <w:sz w:val="22"/>
              </w:rPr>
              <w:tab/>
            </w:r>
            <w:r w:rsidRPr="008E6C49">
              <w:rPr>
                <w:rStyle w:val="Hyperlink"/>
                <w:rFonts w:eastAsia="Times New Roman"/>
                <w:b w:val="0"/>
              </w:rPr>
              <w:t>Burnout</w:t>
            </w:r>
            <w:r w:rsidRPr="008E6C49">
              <w:rPr>
                <w:b w:val="0"/>
                <w:webHidden/>
              </w:rPr>
              <w:tab/>
            </w:r>
            <w:r w:rsidRPr="008E6C49">
              <w:rPr>
                <w:b w:val="0"/>
                <w:webHidden/>
              </w:rPr>
              <w:fldChar w:fldCharType="begin"/>
            </w:r>
            <w:r w:rsidRPr="008E6C49">
              <w:rPr>
                <w:b w:val="0"/>
                <w:webHidden/>
              </w:rPr>
              <w:instrText xml:space="preserve"> PAGEREF _Toc52403565 \h </w:instrText>
            </w:r>
            <w:r w:rsidRPr="008E6C49">
              <w:rPr>
                <w:b w:val="0"/>
                <w:webHidden/>
              </w:rPr>
            </w:r>
            <w:r w:rsidRPr="008E6C49">
              <w:rPr>
                <w:b w:val="0"/>
                <w:webHidden/>
              </w:rPr>
              <w:fldChar w:fldCharType="separate"/>
            </w:r>
            <w:r w:rsidRPr="008E6C49">
              <w:rPr>
                <w:b w:val="0"/>
                <w:webHidden/>
              </w:rPr>
              <w:t>14</w:t>
            </w:r>
            <w:r w:rsidRPr="008E6C49">
              <w:rPr>
                <w:b w:val="0"/>
                <w:webHidden/>
              </w:rPr>
              <w:fldChar w:fldCharType="end"/>
            </w:r>
          </w:hyperlink>
        </w:p>
        <w:p w14:paraId="14F8F808" w14:textId="54530444" w:rsidR="008E6C49" w:rsidRPr="008E6C49" w:rsidRDefault="008E6C49">
          <w:pPr>
            <w:pStyle w:val="TOC2"/>
            <w:tabs>
              <w:tab w:val="left" w:pos="880"/>
            </w:tabs>
            <w:rPr>
              <w:rFonts w:asciiTheme="minorHAnsi" w:hAnsiTheme="minorHAnsi"/>
              <w:noProof/>
              <w:sz w:val="22"/>
            </w:rPr>
          </w:pPr>
          <w:hyperlink w:anchor="_Toc52403566" w:history="1">
            <w:r w:rsidRPr="008E6C49">
              <w:rPr>
                <w:rStyle w:val="Hyperlink"/>
                <w:noProof/>
              </w:rPr>
              <w:t>2.4</w:t>
            </w:r>
            <w:r w:rsidRPr="008E6C49">
              <w:rPr>
                <w:rFonts w:asciiTheme="minorHAnsi" w:hAnsiTheme="minorHAnsi"/>
                <w:noProof/>
                <w:sz w:val="22"/>
              </w:rPr>
              <w:tab/>
            </w:r>
            <w:r w:rsidRPr="008E6C49">
              <w:rPr>
                <w:rStyle w:val="Hyperlink"/>
                <w:noProof/>
              </w:rPr>
              <w:t>Strategies to Address Retention</w:t>
            </w:r>
            <w:r w:rsidRPr="008E6C49">
              <w:rPr>
                <w:noProof/>
                <w:webHidden/>
              </w:rPr>
              <w:tab/>
            </w:r>
            <w:r w:rsidRPr="008E6C49">
              <w:rPr>
                <w:noProof/>
                <w:webHidden/>
              </w:rPr>
              <w:fldChar w:fldCharType="begin"/>
            </w:r>
            <w:r w:rsidRPr="008E6C49">
              <w:rPr>
                <w:noProof/>
                <w:webHidden/>
              </w:rPr>
              <w:instrText xml:space="preserve"> PAGEREF _Toc52403566 \h </w:instrText>
            </w:r>
            <w:r w:rsidRPr="008E6C49">
              <w:rPr>
                <w:noProof/>
                <w:webHidden/>
              </w:rPr>
            </w:r>
            <w:r w:rsidRPr="008E6C49">
              <w:rPr>
                <w:noProof/>
                <w:webHidden/>
              </w:rPr>
              <w:fldChar w:fldCharType="separate"/>
            </w:r>
            <w:r w:rsidRPr="008E6C49">
              <w:rPr>
                <w:noProof/>
                <w:webHidden/>
              </w:rPr>
              <w:t>17</w:t>
            </w:r>
            <w:r w:rsidRPr="008E6C49">
              <w:rPr>
                <w:noProof/>
                <w:webHidden/>
              </w:rPr>
              <w:fldChar w:fldCharType="end"/>
            </w:r>
          </w:hyperlink>
        </w:p>
        <w:p w14:paraId="2E5002E1" w14:textId="2478E9E4" w:rsidR="008E6C49" w:rsidRPr="008E6C49" w:rsidRDefault="008E6C49">
          <w:pPr>
            <w:pStyle w:val="TOC3"/>
            <w:tabs>
              <w:tab w:val="left" w:pos="1320"/>
            </w:tabs>
            <w:rPr>
              <w:rFonts w:asciiTheme="minorHAnsi" w:hAnsiTheme="minorHAnsi"/>
              <w:b w:val="0"/>
              <w:sz w:val="22"/>
            </w:rPr>
          </w:pPr>
          <w:hyperlink w:anchor="_Toc52403567" w:history="1">
            <w:r w:rsidRPr="008E6C49">
              <w:rPr>
                <w:rStyle w:val="Hyperlink"/>
                <w:b w:val="0"/>
              </w:rPr>
              <w:t>2.4.1</w:t>
            </w:r>
            <w:r w:rsidRPr="008E6C49">
              <w:rPr>
                <w:rFonts w:asciiTheme="minorHAnsi" w:hAnsiTheme="minorHAnsi"/>
                <w:b w:val="0"/>
                <w:sz w:val="22"/>
              </w:rPr>
              <w:tab/>
            </w:r>
            <w:r w:rsidRPr="008E6C49">
              <w:rPr>
                <w:rStyle w:val="Hyperlink"/>
                <w:b w:val="0"/>
              </w:rPr>
              <w:t>Enhancing Workforce to Meet Professional Job Requirements</w:t>
            </w:r>
            <w:r w:rsidRPr="008E6C49">
              <w:rPr>
                <w:b w:val="0"/>
                <w:webHidden/>
              </w:rPr>
              <w:tab/>
            </w:r>
            <w:r w:rsidRPr="008E6C49">
              <w:rPr>
                <w:b w:val="0"/>
                <w:webHidden/>
              </w:rPr>
              <w:fldChar w:fldCharType="begin"/>
            </w:r>
            <w:r w:rsidRPr="008E6C49">
              <w:rPr>
                <w:b w:val="0"/>
                <w:webHidden/>
              </w:rPr>
              <w:instrText xml:space="preserve"> PAGEREF _Toc52403567 \h </w:instrText>
            </w:r>
            <w:r w:rsidRPr="008E6C49">
              <w:rPr>
                <w:b w:val="0"/>
                <w:webHidden/>
              </w:rPr>
            </w:r>
            <w:r w:rsidRPr="008E6C49">
              <w:rPr>
                <w:b w:val="0"/>
                <w:webHidden/>
              </w:rPr>
              <w:fldChar w:fldCharType="separate"/>
            </w:r>
            <w:r w:rsidRPr="008E6C49">
              <w:rPr>
                <w:b w:val="0"/>
                <w:webHidden/>
              </w:rPr>
              <w:t>17</w:t>
            </w:r>
            <w:r w:rsidRPr="008E6C49">
              <w:rPr>
                <w:b w:val="0"/>
                <w:webHidden/>
              </w:rPr>
              <w:fldChar w:fldCharType="end"/>
            </w:r>
          </w:hyperlink>
        </w:p>
        <w:p w14:paraId="4E8B3F83" w14:textId="64D820F0" w:rsidR="008E6C49" w:rsidRPr="008E6C49" w:rsidRDefault="008E6C49">
          <w:pPr>
            <w:pStyle w:val="TOC3"/>
            <w:tabs>
              <w:tab w:val="left" w:pos="1320"/>
            </w:tabs>
            <w:rPr>
              <w:rFonts w:asciiTheme="minorHAnsi" w:hAnsiTheme="minorHAnsi"/>
              <w:b w:val="0"/>
              <w:sz w:val="22"/>
            </w:rPr>
          </w:pPr>
          <w:hyperlink w:anchor="_Toc52403568" w:history="1">
            <w:r w:rsidRPr="008E6C49">
              <w:rPr>
                <w:rStyle w:val="Hyperlink"/>
                <w:b w:val="0"/>
              </w:rPr>
              <w:t>2.4.2</w:t>
            </w:r>
            <w:r w:rsidRPr="008E6C49">
              <w:rPr>
                <w:rFonts w:asciiTheme="minorHAnsi" w:hAnsiTheme="minorHAnsi"/>
                <w:b w:val="0"/>
                <w:sz w:val="22"/>
              </w:rPr>
              <w:tab/>
            </w:r>
            <w:r w:rsidRPr="008E6C49">
              <w:rPr>
                <w:rStyle w:val="Hyperlink"/>
                <w:b w:val="0"/>
              </w:rPr>
              <w:t>Providing Peer and Supervisor Support to Address Job Demands</w:t>
            </w:r>
            <w:r w:rsidRPr="008E6C49">
              <w:rPr>
                <w:b w:val="0"/>
                <w:webHidden/>
              </w:rPr>
              <w:tab/>
            </w:r>
            <w:r w:rsidRPr="008E6C49">
              <w:rPr>
                <w:b w:val="0"/>
                <w:webHidden/>
              </w:rPr>
              <w:fldChar w:fldCharType="begin"/>
            </w:r>
            <w:r w:rsidRPr="008E6C49">
              <w:rPr>
                <w:b w:val="0"/>
                <w:webHidden/>
              </w:rPr>
              <w:instrText xml:space="preserve"> PAGEREF _Toc52403568 \h </w:instrText>
            </w:r>
            <w:r w:rsidRPr="008E6C49">
              <w:rPr>
                <w:b w:val="0"/>
                <w:webHidden/>
              </w:rPr>
            </w:r>
            <w:r w:rsidRPr="008E6C49">
              <w:rPr>
                <w:b w:val="0"/>
                <w:webHidden/>
              </w:rPr>
              <w:fldChar w:fldCharType="separate"/>
            </w:r>
            <w:r w:rsidRPr="008E6C49">
              <w:rPr>
                <w:b w:val="0"/>
                <w:webHidden/>
              </w:rPr>
              <w:t>19</w:t>
            </w:r>
            <w:r w:rsidRPr="008E6C49">
              <w:rPr>
                <w:b w:val="0"/>
                <w:webHidden/>
              </w:rPr>
              <w:fldChar w:fldCharType="end"/>
            </w:r>
          </w:hyperlink>
        </w:p>
        <w:p w14:paraId="4F107342" w14:textId="612D334B" w:rsidR="008E6C49" w:rsidRDefault="008E6C49">
          <w:pPr>
            <w:pStyle w:val="TOC3"/>
            <w:tabs>
              <w:tab w:val="left" w:pos="1320"/>
            </w:tabs>
            <w:rPr>
              <w:rFonts w:asciiTheme="minorHAnsi" w:hAnsiTheme="minorHAnsi"/>
              <w:b w:val="0"/>
              <w:sz w:val="22"/>
            </w:rPr>
          </w:pPr>
          <w:hyperlink w:anchor="_Toc52403569" w:history="1">
            <w:r w:rsidRPr="008E6C49">
              <w:rPr>
                <w:rStyle w:val="Hyperlink"/>
                <w:rFonts w:eastAsia="Times New Roman"/>
                <w:b w:val="0"/>
              </w:rPr>
              <w:t>2.4.3</w:t>
            </w:r>
            <w:r w:rsidRPr="008E6C49">
              <w:rPr>
                <w:rFonts w:asciiTheme="minorHAnsi" w:hAnsiTheme="minorHAnsi"/>
                <w:b w:val="0"/>
                <w:sz w:val="22"/>
              </w:rPr>
              <w:tab/>
            </w:r>
            <w:r w:rsidRPr="008E6C49">
              <w:rPr>
                <w:rStyle w:val="Hyperlink"/>
                <w:rFonts w:eastAsia="Times New Roman"/>
                <w:b w:val="0"/>
              </w:rPr>
              <w:t>Building Proficient Organizational Cultures</w:t>
            </w:r>
            <w:r w:rsidRPr="008E6C49">
              <w:rPr>
                <w:b w:val="0"/>
                <w:webHidden/>
              </w:rPr>
              <w:tab/>
            </w:r>
            <w:r w:rsidRPr="008E6C49">
              <w:rPr>
                <w:b w:val="0"/>
                <w:webHidden/>
              </w:rPr>
              <w:fldChar w:fldCharType="begin"/>
            </w:r>
            <w:r w:rsidRPr="008E6C49">
              <w:rPr>
                <w:b w:val="0"/>
                <w:webHidden/>
              </w:rPr>
              <w:instrText xml:space="preserve"> PAGEREF _Toc52403569 \h </w:instrText>
            </w:r>
            <w:r w:rsidRPr="008E6C49">
              <w:rPr>
                <w:b w:val="0"/>
                <w:webHidden/>
              </w:rPr>
            </w:r>
            <w:r w:rsidRPr="008E6C49">
              <w:rPr>
                <w:b w:val="0"/>
                <w:webHidden/>
              </w:rPr>
              <w:fldChar w:fldCharType="separate"/>
            </w:r>
            <w:r w:rsidRPr="008E6C49">
              <w:rPr>
                <w:b w:val="0"/>
                <w:webHidden/>
              </w:rPr>
              <w:t>20</w:t>
            </w:r>
            <w:r w:rsidRPr="008E6C49">
              <w:rPr>
                <w:b w:val="0"/>
                <w:webHidden/>
              </w:rPr>
              <w:fldChar w:fldCharType="end"/>
            </w:r>
          </w:hyperlink>
          <w:bookmarkEnd w:id="0"/>
        </w:p>
        <w:p w14:paraId="45228FAE" w14:textId="55FAEC5F" w:rsidR="008E6C49" w:rsidRDefault="008E6C49">
          <w:pPr>
            <w:pStyle w:val="TOC1"/>
            <w:tabs>
              <w:tab w:val="right" w:leader="dot" w:pos="9350"/>
            </w:tabs>
            <w:rPr>
              <w:rFonts w:asciiTheme="minorHAnsi" w:hAnsiTheme="minorHAnsi"/>
              <w:noProof/>
              <w:sz w:val="22"/>
            </w:rPr>
          </w:pPr>
          <w:hyperlink w:anchor="_Toc52403570" w:history="1">
            <w:r w:rsidRPr="0096050A">
              <w:rPr>
                <w:rStyle w:val="Hyperlink"/>
                <w:noProof/>
              </w:rPr>
              <w:t>Chapter 3:  Child Welfare Employer Survey</w:t>
            </w:r>
            <w:r>
              <w:rPr>
                <w:noProof/>
                <w:webHidden/>
              </w:rPr>
              <w:tab/>
            </w:r>
            <w:r>
              <w:rPr>
                <w:noProof/>
                <w:webHidden/>
              </w:rPr>
              <w:fldChar w:fldCharType="begin"/>
            </w:r>
            <w:r>
              <w:rPr>
                <w:noProof/>
                <w:webHidden/>
              </w:rPr>
              <w:instrText xml:space="preserve"> PAGEREF _Toc52403570 \h </w:instrText>
            </w:r>
            <w:r>
              <w:rPr>
                <w:noProof/>
                <w:webHidden/>
              </w:rPr>
            </w:r>
            <w:r>
              <w:rPr>
                <w:noProof/>
                <w:webHidden/>
              </w:rPr>
              <w:fldChar w:fldCharType="separate"/>
            </w:r>
            <w:r>
              <w:rPr>
                <w:noProof/>
                <w:webHidden/>
              </w:rPr>
              <w:t>23</w:t>
            </w:r>
            <w:r>
              <w:rPr>
                <w:noProof/>
                <w:webHidden/>
              </w:rPr>
              <w:fldChar w:fldCharType="end"/>
            </w:r>
          </w:hyperlink>
        </w:p>
        <w:p w14:paraId="59EEE4D8" w14:textId="60C0494A" w:rsidR="008E6C49" w:rsidRDefault="008E6C49">
          <w:pPr>
            <w:pStyle w:val="TOC2"/>
            <w:tabs>
              <w:tab w:val="left" w:pos="880"/>
            </w:tabs>
            <w:rPr>
              <w:rFonts w:asciiTheme="minorHAnsi" w:hAnsiTheme="minorHAnsi"/>
              <w:noProof/>
              <w:sz w:val="22"/>
            </w:rPr>
          </w:pPr>
          <w:hyperlink w:anchor="_Toc52403571" w:history="1">
            <w:r w:rsidRPr="0096050A">
              <w:rPr>
                <w:rStyle w:val="Hyperlink"/>
                <w:noProof/>
              </w:rPr>
              <w:t>3.1</w:t>
            </w:r>
            <w:r>
              <w:rPr>
                <w:rFonts w:asciiTheme="minorHAnsi" w:hAnsiTheme="minorHAnsi"/>
                <w:noProof/>
                <w:sz w:val="22"/>
              </w:rPr>
              <w:tab/>
            </w:r>
            <w:r w:rsidRPr="0096050A">
              <w:rPr>
                <w:rStyle w:val="Hyperlink"/>
                <w:noProof/>
              </w:rPr>
              <w:t>Survey Methods</w:t>
            </w:r>
            <w:r>
              <w:rPr>
                <w:noProof/>
                <w:webHidden/>
              </w:rPr>
              <w:tab/>
            </w:r>
            <w:r>
              <w:rPr>
                <w:noProof/>
                <w:webHidden/>
              </w:rPr>
              <w:fldChar w:fldCharType="begin"/>
            </w:r>
            <w:r>
              <w:rPr>
                <w:noProof/>
                <w:webHidden/>
              </w:rPr>
              <w:instrText xml:space="preserve"> PAGEREF _Toc52403571 \h </w:instrText>
            </w:r>
            <w:r>
              <w:rPr>
                <w:noProof/>
                <w:webHidden/>
              </w:rPr>
            </w:r>
            <w:r>
              <w:rPr>
                <w:noProof/>
                <w:webHidden/>
              </w:rPr>
              <w:fldChar w:fldCharType="separate"/>
            </w:r>
            <w:r>
              <w:rPr>
                <w:noProof/>
                <w:webHidden/>
              </w:rPr>
              <w:t>23</w:t>
            </w:r>
            <w:r>
              <w:rPr>
                <w:noProof/>
                <w:webHidden/>
              </w:rPr>
              <w:fldChar w:fldCharType="end"/>
            </w:r>
          </w:hyperlink>
        </w:p>
        <w:p w14:paraId="3CCE1C1E" w14:textId="5F73EE2C" w:rsidR="008E6C49" w:rsidRDefault="008E6C49">
          <w:pPr>
            <w:pStyle w:val="TOC2"/>
            <w:tabs>
              <w:tab w:val="left" w:pos="880"/>
            </w:tabs>
            <w:rPr>
              <w:rFonts w:asciiTheme="minorHAnsi" w:hAnsiTheme="minorHAnsi"/>
              <w:noProof/>
              <w:sz w:val="22"/>
            </w:rPr>
          </w:pPr>
          <w:hyperlink w:anchor="_Toc52403572" w:history="1">
            <w:r w:rsidRPr="0096050A">
              <w:rPr>
                <w:rStyle w:val="Hyperlink"/>
                <w:noProof/>
              </w:rPr>
              <w:t>3.2</w:t>
            </w:r>
            <w:r>
              <w:rPr>
                <w:rFonts w:asciiTheme="minorHAnsi" w:hAnsiTheme="minorHAnsi"/>
                <w:noProof/>
                <w:sz w:val="22"/>
              </w:rPr>
              <w:tab/>
            </w:r>
            <w:r w:rsidRPr="0096050A">
              <w:rPr>
                <w:rStyle w:val="Hyperlink"/>
                <w:noProof/>
              </w:rPr>
              <w:t>Survey Results</w:t>
            </w:r>
            <w:r>
              <w:rPr>
                <w:noProof/>
                <w:webHidden/>
              </w:rPr>
              <w:tab/>
            </w:r>
            <w:r>
              <w:rPr>
                <w:noProof/>
                <w:webHidden/>
              </w:rPr>
              <w:fldChar w:fldCharType="begin"/>
            </w:r>
            <w:r>
              <w:rPr>
                <w:noProof/>
                <w:webHidden/>
              </w:rPr>
              <w:instrText xml:space="preserve"> PAGEREF _Toc52403572 \h </w:instrText>
            </w:r>
            <w:r>
              <w:rPr>
                <w:noProof/>
                <w:webHidden/>
              </w:rPr>
            </w:r>
            <w:r>
              <w:rPr>
                <w:noProof/>
                <w:webHidden/>
              </w:rPr>
              <w:fldChar w:fldCharType="separate"/>
            </w:r>
            <w:r>
              <w:rPr>
                <w:noProof/>
                <w:webHidden/>
              </w:rPr>
              <w:t>23</w:t>
            </w:r>
            <w:r>
              <w:rPr>
                <w:noProof/>
                <w:webHidden/>
              </w:rPr>
              <w:fldChar w:fldCharType="end"/>
            </w:r>
          </w:hyperlink>
        </w:p>
        <w:p w14:paraId="4A198915" w14:textId="17394A9F" w:rsidR="008E6C49" w:rsidRDefault="008E6C49">
          <w:pPr>
            <w:pStyle w:val="TOC1"/>
            <w:tabs>
              <w:tab w:val="right" w:leader="dot" w:pos="9350"/>
            </w:tabs>
            <w:rPr>
              <w:rFonts w:asciiTheme="minorHAnsi" w:hAnsiTheme="minorHAnsi"/>
              <w:noProof/>
              <w:sz w:val="22"/>
            </w:rPr>
          </w:pPr>
          <w:hyperlink w:anchor="_Toc52403573" w:history="1">
            <w:r w:rsidRPr="0096050A">
              <w:rPr>
                <w:rStyle w:val="Hyperlink"/>
                <w:noProof/>
              </w:rPr>
              <w:t>Chapter 4:  Task Force Recommendations</w:t>
            </w:r>
            <w:r>
              <w:rPr>
                <w:noProof/>
                <w:webHidden/>
              </w:rPr>
              <w:tab/>
            </w:r>
            <w:r>
              <w:rPr>
                <w:noProof/>
                <w:webHidden/>
              </w:rPr>
              <w:fldChar w:fldCharType="begin"/>
            </w:r>
            <w:r>
              <w:rPr>
                <w:noProof/>
                <w:webHidden/>
              </w:rPr>
              <w:instrText xml:space="preserve"> PAGEREF _Toc52403573 \h </w:instrText>
            </w:r>
            <w:r>
              <w:rPr>
                <w:noProof/>
                <w:webHidden/>
              </w:rPr>
            </w:r>
            <w:r>
              <w:rPr>
                <w:noProof/>
                <w:webHidden/>
              </w:rPr>
              <w:fldChar w:fldCharType="separate"/>
            </w:r>
            <w:r>
              <w:rPr>
                <w:noProof/>
                <w:webHidden/>
              </w:rPr>
              <w:t>26</w:t>
            </w:r>
            <w:r>
              <w:rPr>
                <w:noProof/>
                <w:webHidden/>
              </w:rPr>
              <w:fldChar w:fldCharType="end"/>
            </w:r>
          </w:hyperlink>
        </w:p>
        <w:p w14:paraId="50ACD0D5" w14:textId="7F9409DE" w:rsidR="008E6C49" w:rsidRDefault="008E6C49">
          <w:pPr>
            <w:pStyle w:val="TOC2"/>
            <w:tabs>
              <w:tab w:val="left" w:pos="880"/>
            </w:tabs>
            <w:rPr>
              <w:rFonts w:asciiTheme="minorHAnsi" w:hAnsiTheme="minorHAnsi"/>
              <w:noProof/>
              <w:sz w:val="22"/>
            </w:rPr>
          </w:pPr>
          <w:hyperlink w:anchor="_Toc52403574" w:history="1">
            <w:r w:rsidRPr="0096050A">
              <w:rPr>
                <w:rStyle w:val="Hyperlink"/>
                <w:rFonts w:cstheme="majorHAnsi"/>
                <w:noProof/>
              </w:rPr>
              <w:t>4.1</w:t>
            </w:r>
            <w:r>
              <w:rPr>
                <w:rFonts w:asciiTheme="minorHAnsi" w:hAnsiTheme="minorHAnsi"/>
                <w:noProof/>
                <w:sz w:val="22"/>
              </w:rPr>
              <w:tab/>
            </w:r>
            <w:r w:rsidRPr="0096050A">
              <w:rPr>
                <w:rStyle w:val="Hyperlink"/>
                <w:rFonts w:cstheme="majorHAnsi"/>
                <w:noProof/>
              </w:rPr>
              <w:t>Child Welfare Worker Recruitment</w:t>
            </w:r>
            <w:r>
              <w:rPr>
                <w:noProof/>
                <w:webHidden/>
              </w:rPr>
              <w:tab/>
            </w:r>
            <w:r>
              <w:rPr>
                <w:noProof/>
                <w:webHidden/>
              </w:rPr>
              <w:fldChar w:fldCharType="begin"/>
            </w:r>
            <w:r>
              <w:rPr>
                <w:noProof/>
                <w:webHidden/>
              </w:rPr>
              <w:instrText xml:space="preserve"> PAGEREF _Toc52403574 \h </w:instrText>
            </w:r>
            <w:r>
              <w:rPr>
                <w:noProof/>
                <w:webHidden/>
              </w:rPr>
            </w:r>
            <w:r>
              <w:rPr>
                <w:noProof/>
                <w:webHidden/>
              </w:rPr>
              <w:fldChar w:fldCharType="separate"/>
            </w:r>
            <w:r>
              <w:rPr>
                <w:noProof/>
                <w:webHidden/>
              </w:rPr>
              <w:t>26</w:t>
            </w:r>
            <w:r>
              <w:rPr>
                <w:noProof/>
                <w:webHidden/>
              </w:rPr>
              <w:fldChar w:fldCharType="end"/>
            </w:r>
          </w:hyperlink>
        </w:p>
        <w:p w14:paraId="10D44BEE" w14:textId="4DDA1D26" w:rsidR="008E6C49" w:rsidRDefault="008E6C49">
          <w:pPr>
            <w:pStyle w:val="TOC2"/>
            <w:tabs>
              <w:tab w:val="left" w:pos="880"/>
            </w:tabs>
            <w:rPr>
              <w:rFonts w:asciiTheme="minorHAnsi" w:hAnsiTheme="minorHAnsi"/>
              <w:noProof/>
              <w:sz w:val="22"/>
            </w:rPr>
          </w:pPr>
          <w:hyperlink w:anchor="_Toc52403575" w:history="1">
            <w:r w:rsidRPr="0096050A">
              <w:rPr>
                <w:rStyle w:val="Hyperlink"/>
                <w:noProof/>
                <w:shd w:val="clear" w:color="auto" w:fill="FFFFFF"/>
              </w:rPr>
              <w:t>4.2</w:t>
            </w:r>
            <w:r>
              <w:rPr>
                <w:rFonts w:asciiTheme="minorHAnsi" w:hAnsiTheme="minorHAnsi"/>
                <w:noProof/>
                <w:sz w:val="22"/>
              </w:rPr>
              <w:tab/>
            </w:r>
            <w:r w:rsidRPr="0096050A">
              <w:rPr>
                <w:rStyle w:val="Hyperlink"/>
                <w:noProof/>
                <w:shd w:val="clear" w:color="auto" w:fill="FFFFFF"/>
              </w:rPr>
              <w:t>Child Welfare Worker Retention</w:t>
            </w:r>
            <w:r>
              <w:rPr>
                <w:noProof/>
                <w:webHidden/>
              </w:rPr>
              <w:tab/>
            </w:r>
            <w:r>
              <w:rPr>
                <w:noProof/>
                <w:webHidden/>
              </w:rPr>
              <w:fldChar w:fldCharType="begin"/>
            </w:r>
            <w:r>
              <w:rPr>
                <w:noProof/>
                <w:webHidden/>
              </w:rPr>
              <w:instrText xml:space="preserve"> PAGEREF _Toc52403575 \h </w:instrText>
            </w:r>
            <w:r>
              <w:rPr>
                <w:noProof/>
                <w:webHidden/>
              </w:rPr>
            </w:r>
            <w:r>
              <w:rPr>
                <w:noProof/>
                <w:webHidden/>
              </w:rPr>
              <w:fldChar w:fldCharType="separate"/>
            </w:r>
            <w:r>
              <w:rPr>
                <w:noProof/>
                <w:webHidden/>
              </w:rPr>
              <w:t>27</w:t>
            </w:r>
            <w:r>
              <w:rPr>
                <w:noProof/>
                <w:webHidden/>
              </w:rPr>
              <w:fldChar w:fldCharType="end"/>
            </w:r>
          </w:hyperlink>
        </w:p>
        <w:p w14:paraId="3B71A70D" w14:textId="64D7AE78" w:rsidR="008E6C49" w:rsidRDefault="008E6C49">
          <w:pPr>
            <w:pStyle w:val="TOC2"/>
            <w:tabs>
              <w:tab w:val="left" w:pos="880"/>
            </w:tabs>
            <w:rPr>
              <w:rFonts w:asciiTheme="minorHAnsi" w:hAnsiTheme="minorHAnsi"/>
              <w:noProof/>
              <w:sz w:val="22"/>
            </w:rPr>
          </w:pPr>
          <w:hyperlink w:anchor="_Toc52403576" w:history="1">
            <w:r w:rsidRPr="0096050A">
              <w:rPr>
                <w:rStyle w:val="Hyperlink"/>
                <w:noProof/>
                <w:shd w:val="clear" w:color="auto" w:fill="FFFFFF"/>
              </w:rPr>
              <w:t>4.3</w:t>
            </w:r>
            <w:r>
              <w:rPr>
                <w:rFonts w:asciiTheme="minorHAnsi" w:hAnsiTheme="minorHAnsi"/>
                <w:noProof/>
                <w:sz w:val="22"/>
              </w:rPr>
              <w:tab/>
            </w:r>
            <w:r w:rsidRPr="0096050A">
              <w:rPr>
                <w:rStyle w:val="Hyperlink"/>
                <w:noProof/>
                <w:shd w:val="clear" w:color="auto" w:fill="FFFFFF"/>
              </w:rPr>
              <w:t>Racial Equity</w:t>
            </w:r>
            <w:r>
              <w:rPr>
                <w:noProof/>
                <w:webHidden/>
              </w:rPr>
              <w:tab/>
            </w:r>
            <w:r>
              <w:rPr>
                <w:noProof/>
                <w:webHidden/>
              </w:rPr>
              <w:fldChar w:fldCharType="begin"/>
            </w:r>
            <w:r>
              <w:rPr>
                <w:noProof/>
                <w:webHidden/>
              </w:rPr>
              <w:instrText xml:space="preserve"> PAGEREF _Toc52403576 \h </w:instrText>
            </w:r>
            <w:r>
              <w:rPr>
                <w:noProof/>
                <w:webHidden/>
              </w:rPr>
            </w:r>
            <w:r>
              <w:rPr>
                <w:noProof/>
                <w:webHidden/>
              </w:rPr>
              <w:fldChar w:fldCharType="separate"/>
            </w:r>
            <w:r>
              <w:rPr>
                <w:noProof/>
                <w:webHidden/>
              </w:rPr>
              <w:t>29</w:t>
            </w:r>
            <w:r>
              <w:rPr>
                <w:noProof/>
                <w:webHidden/>
              </w:rPr>
              <w:fldChar w:fldCharType="end"/>
            </w:r>
          </w:hyperlink>
        </w:p>
        <w:p w14:paraId="13BC13B1" w14:textId="535FFC14" w:rsidR="007B27F6" w:rsidRDefault="007B27F6">
          <w:r>
            <w:rPr>
              <w:b/>
              <w:bCs/>
              <w:noProof/>
            </w:rPr>
            <w:fldChar w:fldCharType="end"/>
          </w:r>
        </w:p>
      </w:sdtContent>
    </w:sdt>
    <w:p w14:paraId="314C3203" w14:textId="77777777" w:rsidR="00FE7C69" w:rsidRDefault="00FE7C69">
      <w:pPr>
        <w:rPr>
          <w:rFonts w:eastAsiaTheme="majorEastAsia" w:cstheme="majorBidi"/>
          <w:b/>
          <w:bCs/>
          <w:color w:val="3476B1" w:themeColor="accent1" w:themeShade="BF"/>
          <w:sz w:val="52"/>
          <w:szCs w:val="52"/>
        </w:rPr>
      </w:pPr>
      <w:r>
        <w:rPr>
          <w:sz w:val="52"/>
          <w:szCs w:val="52"/>
        </w:rPr>
        <w:br w:type="page"/>
      </w:r>
    </w:p>
    <w:p w14:paraId="53276638" w14:textId="77777777" w:rsidR="00404608" w:rsidRDefault="00404608">
      <w:pPr>
        <w:rPr>
          <w:sz w:val="44"/>
          <w:szCs w:val="44"/>
        </w:rPr>
        <w:sectPr w:rsidR="00404608" w:rsidSect="00133843">
          <w:footerReference w:type="default" r:id="rId9"/>
          <w:pgSz w:w="12240" w:h="15840"/>
          <w:pgMar w:top="630" w:right="1440" w:bottom="1440" w:left="1440" w:header="720" w:footer="720" w:gutter="0"/>
          <w:pgNumType w:fmt="lowerRoman" w:start="1"/>
          <w:cols w:space="720"/>
          <w:titlePg/>
          <w:docGrid w:linePitch="360"/>
        </w:sectPr>
      </w:pPr>
    </w:p>
    <w:p w14:paraId="317C2689" w14:textId="77777777" w:rsidR="006044F1" w:rsidRDefault="002018B5" w:rsidP="00E32B6F">
      <w:pPr>
        <w:pStyle w:val="Heading1"/>
        <w:spacing w:before="0" w:after="0"/>
      </w:pPr>
      <w:bookmarkStart w:id="1" w:name="_Toc52403556"/>
      <w:r>
        <w:lastRenderedPageBreak/>
        <w:t>Chapter 1:  History and Purpose of the Child Welfare Workforce Task Force</w:t>
      </w:r>
      <w:bookmarkEnd w:id="1"/>
      <w:r>
        <w:t xml:space="preserve"> </w:t>
      </w:r>
    </w:p>
    <w:p w14:paraId="74500941" w14:textId="77777777" w:rsidR="006044F1" w:rsidRDefault="006044F1" w:rsidP="006044F1"/>
    <w:p w14:paraId="7BDAE0BF" w14:textId="796653EE" w:rsidR="00040CEB" w:rsidRDefault="00040CEB" w:rsidP="00040CEB">
      <w:r>
        <w:t>Public Act 100-0879</w:t>
      </w:r>
      <w:r w:rsidR="00711115">
        <w:t>, which was enacted in August 2018, created “</w:t>
      </w:r>
      <w:r>
        <w:t xml:space="preserve">a task force to study the </w:t>
      </w:r>
      <w:r w:rsidRPr="003C67DA">
        <w:t>compensation</w:t>
      </w:r>
      <w:r>
        <w:t xml:space="preserve"> and workload of child welfare workers to determine the role that</w:t>
      </w:r>
      <w:r w:rsidR="00711115">
        <w:t xml:space="preserve"> compensation and workload</w:t>
      </w:r>
      <w:r>
        <w:t xml:space="preserve"> play in the recruitment and retention of the child welfare work</w:t>
      </w:r>
      <w:r w:rsidR="00711115">
        <w:t>ers</w:t>
      </w:r>
      <w:r>
        <w:t xml:space="preserve">, and to determine the role that staff turnover plays in achieving safety and </w:t>
      </w:r>
      <w:r w:rsidR="00711115">
        <w:t>timely permanence for children.”</w:t>
      </w:r>
      <w:r w:rsidR="00711115">
        <w:rPr>
          <w:rStyle w:val="FootnoteReference"/>
        </w:rPr>
        <w:footnoteReference w:id="1"/>
      </w:r>
      <w:r w:rsidR="002A18A9">
        <w:t xml:space="preserve"> The Task Force on Strengthening the Child Welfare Workforce for Children and Families was given the following goals:</w:t>
      </w:r>
    </w:p>
    <w:p w14:paraId="65AEC85F" w14:textId="19EA1D32" w:rsidR="002A18A9" w:rsidRDefault="002A18A9" w:rsidP="002A18A9">
      <w:pPr>
        <w:pStyle w:val="ListParagraph"/>
        <w:numPr>
          <w:ilvl w:val="0"/>
          <w:numId w:val="42"/>
        </w:numPr>
      </w:pPr>
      <w:r>
        <w:t>Perform a policy and literature review regarding the compensation and caseload standards in the field of child welfare; staff turnover rates; and the impact compensation, caseload, and staff turnover have on achieving safety and timely permanence for children</w:t>
      </w:r>
      <w:r w:rsidR="008F2269">
        <w:t>.</w:t>
      </w:r>
    </w:p>
    <w:p w14:paraId="456EC069" w14:textId="5C138D3D" w:rsidR="008F2269" w:rsidRDefault="008F2269" w:rsidP="002A18A9">
      <w:pPr>
        <w:pStyle w:val="ListParagraph"/>
        <w:numPr>
          <w:ilvl w:val="0"/>
          <w:numId w:val="42"/>
        </w:numPr>
      </w:pPr>
      <w:r>
        <w:t>Survey employers in the public and private sector to determine</w:t>
      </w:r>
    </w:p>
    <w:p w14:paraId="751E465B" w14:textId="726EA164" w:rsidR="008F2269" w:rsidRDefault="008F2269" w:rsidP="008F2269">
      <w:pPr>
        <w:pStyle w:val="ListParagraph"/>
        <w:numPr>
          <w:ilvl w:val="1"/>
          <w:numId w:val="42"/>
        </w:numPr>
      </w:pPr>
      <w:r>
        <w:t>how many child welfare service jobs exist;</w:t>
      </w:r>
    </w:p>
    <w:p w14:paraId="02C41FF7" w14:textId="585FDCD3" w:rsidR="008F2269" w:rsidRDefault="008F2269" w:rsidP="008F2269">
      <w:pPr>
        <w:pStyle w:val="ListParagraph"/>
        <w:numPr>
          <w:ilvl w:val="1"/>
          <w:numId w:val="42"/>
        </w:numPr>
      </w:pPr>
      <w:r>
        <w:t>the compensation paid to child welfare workers;</w:t>
      </w:r>
    </w:p>
    <w:p w14:paraId="70A76C48" w14:textId="755CDCBE" w:rsidR="008F2269" w:rsidRDefault="008F2269" w:rsidP="008F2269">
      <w:pPr>
        <w:pStyle w:val="ListParagraph"/>
        <w:numPr>
          <w:ilvl w:val="1"/>
          <w:numId w:val="42"/>
        </w:numPr>
      </w:pPr>
      <w:r>
        <w:t>how many child welfare service jobs are filled and how many are vacant;</w:t>
      </w:r>
    </w:p>
    <w:p w14:paraId="068D4D67" w14:textId="1949C65B" w:rsidR="008F2269" w:rsidRDefault="008F2269" w:rsidP="008F2269">
      <w:pPr>
        <w:pStyle w:val="ListParagraph"/>
        <w:numPr>
          <w:ilvl w:val="1"/>
          <w:numId w:val="42"/>
        </w:numPr>
      </w:pPr>
      <w:r>
        <w:t xml:space="preserve">how many child welfare service jobs are filled by persons who have at least 18 months in the position; </w:t>
      </w:r>
    </w:p>
    <w:p w14:paraId="3E4B594A" w14:textId="34E13242" w:rsidR="008F2269" w:rsidRDefault="008F2269" w:rsidP="008F2269">
      <w:pPr>
        <w:pStyle w:val="ListParagraph"/>
        <w:numPr>
          <w:ilvl w:val="1"/>
          <w:numId w:val="42"/>
        </w:numPr>
      </w:pPr>
      <w:r>
        <w:t xml:space="preserve">the rate of turnover for child welfare workers; and </w:t>
      </w:r>
    </w:p>
    <w:p w14:paraId="3E51F05C" w14:textId="743FD162" w:rsidR="008F2269" w:rsidRDefault="008F2269" w:rsidP="008F2269">
      <w:pPr>
        <w:pStyle w:val="ListParagraph"/>
        <w:numPr>
          <w:ilvl w:val="1"/>
          <w:numId w:val="42"/>
        </w:numPr>
      </w:pPr>
      <w:r>
        <w:t>the causes of turnover for child welfare workers.</w:t>
      </w:r>
    </w:p>
    <w:p w14:paraId="4F50A4F8" w14:textId="3F19CCC9" w:rsidR="008F2269" w:rsidRDefault="005B1D69" w:rsidP="008F2269">
      <w:pPr>
        <w:pStyle w:val="ListParagraph"/>
        <w:numPr>
          <w:ilvl w:val="0"/>
          <w:numId w:val="42"/>
        </w:numPr>
      </w:pPr>
      <w:r>
        <w:t xml:space="preserve">Conduct a detailed time log analysis for child welfare workers to determine how much time is available to complete each administrative task and how much time is actually spent to complete each administrative task. </w:t>
      </w:r>
    </w:p>
    <w:p w14:paraId="5400795F" w14:textId="3C62E240" w:rsidR="0099339B" w:rsidRDefault="0099339B" w:rsidP="0099339B">
      <w:pPr>
        <w:pStyle w:val="ListParagraph"/>
        <w:numPr>
          <w:ilvl w:val="0"/>
          <w:numId w:val="42"/>
        </w:numPr>
        <w:spacing w:after="0"/>
      </w:pPr>
      <w:r>
        <w:t xml:space="preserve">Develop recommendations on how to improve recruitment and retention of child welfare workers and reduce the turnover rates for child welfare workers. </w:t>
      </w:r>
    </w:p>
    <w:p w14:paraId="313D2188" w14:textId="77777777" w:rsidR="0099339B" w:rsidRDefault="0099339B" w:rsidP="0099339B">
      <w:pPr>
        <w:spacing w:after="0"/>
      </w:pPr>
    </w:p>
    <w:p w14:paraId="11CC6F18" w14:textId="183589C0" w:rsidR="00480A90" w:rsidRDefault="0099339B" w:rsidP="0099339B">
      <w:pPr>
        <w:spacing w:after="0"/>
      </w:pPr>
      <w:r>
        <w:t xml:space="preserve">The Task Force requested assistance with the literature review and data collection from the Children and Family Research Center (CFRC) at the University of Illinois at Urbana-Champaign. </w:t>
      </w:r>
      <w:r w:rsidR="00C40C3D">
        <w:t xml:space="preserve">CFRC developed a work plan for the three tasks (the literature review, the employer survey, and the time log analysis) that was approved by the Task Force in February 2020. However, in March 2020, </w:t>
      </w:r>
      <w:r w:rsidR="00D7637C">
        <w:t xml:space="preserve">child welfare practice throughout the State was interrupted and drastically changed by the COVID-19 pandemic and resulting shelter at home order that was implemented. Because the purpose of the time log study was to determine how child welfare workers spend their time under “normal” work conditions and almost every aspect of their practice changed in March 2020 and forward, it was decided to </w:t>
      </w:r>
      <w:r>
        <w:t xml:space="preserve">suspend </w:t>
      </w:r>
      <w:r w:rsidR="00D7637C">
        <w:t xml:space="preserve">the implementation of </w:t>
      </w:r>
      <w:r>
        <w:t>the t</w:t>
      </w:r>
      <w:r w:rsidR="00D7637C">
        <w:t>ime log study</w:t>
      </w:r>
      <w:r w:rsidR="0015333B">
        <w:t xml:space="preserve">. </w:t>
      </w:r>
      <w:r>
        <w:t xml:space="preserve">This report therefore contains the results of the literature review and the employer survey, as well as the recommendations of the task Force related to child welfare workforce recruitment, retention, and racial equity. </w:t>
      </w:r>
    </w:p>
    <w:p w14:paraId="12C4C2BF" w14:textId="2F8F37B9" w:rsidR="00A37F1F" w:rsidRDefault="00A37F1F" w:rsidP="00E32B6F">
      <w:pPr>
        <w:pStyle w:val="Heading1"/>
        <w:spacing w:before="0" w:after="0"/>
      </w:pPr>
      <w:bookmarkStart w:id="2" w:name="_Toc52403557"/>
      <w:r>
        <w:t>Chapter 2:  Literature Review</w:t>
      </w:r>
      <w:bookmarkEnd w:id="2"/>
    </w:p>
    <w:p w14:paraId="2971C79E" w14:textId="77777777" w:rsidR="00A37F1F" w:rsidRDefault="00A37F1F" w:rsidP="007026EF">
      <w:pPr>
        <w:pStyle w:val="Heading2"/>
        <w:spacing w:before="0" w:after="0" w:line="360" w:lineRule="auto"/>
        <w:rPr>
          <w:sz w:val="28"/>
          <w:szCs w:val="28"/>
        </w:rPr>
      </w:pPr>
    </w:p>
    <w:p w14:paraId="298956F9" w14:textId="1104784E" w:rsidR="00996DEF" w:rsidRPr="00AF2578" w:rsidRDefault="003D7107" w:rsidP="007026EF">
      <w:pPr>
        <w:pStyle w:val="Heading2"/>
        <w:spacing w:before="0" w:after="0" w:line="360" w:lineRule="auto"/>
        <w:rPr>
          <w:sz w:val="28"/>
          <w:szCs w:val="28"/>
        </w:rPr>
      </w:pPr>
      <w:bookmarkStart w:id="3" w:name="_Toc52403558"/>
      <w:r>
        <w:rPr>
          <w:sz w:val="28"/>
          <w:szCs w:val="28"/>
        </w:rPr>
        <w:t>2.1</w:t>
      </w:r>
      <w:r>
        <w:rPr>
          <w:sz w:val="28"/>
          <w:szCs w:val="28"/>
        </w:rPr>
        <w:tab/>
      </w:r>
      <w:r w:rsidR="005245E8">
        <w:rPr>
          <w:sz w:val="28"/>
          <w:szCs w:val="28"/>
        </w:rPr>
        <w:t xml:space="preserve">Workforce </w:t>
      </w:r>
      <w:r w:rsidR="00AA7C62" w:rsidRPr="000976A8">
        <w:rPr>
          <w:sz w:val="28"/>
          <w:szCs w:val="28"/>
        </w:rPr>
        <w:t>Turnover and Retention in Child Welfare</w:t>
      </w:r>
      <w:bookmarkEnd w:id="3"/>
    </w:p>
    <w:p w14:paraId="74B8B960" w14:textId="77777777" w:rsidR="00836F1A" w:rsidRDefault="00AF2578" w:rsidP="00733942">
      <w:pPr>
        <w:spacing w:after="0"/>
        <w:rPr>
          <w:rFonts w:ascii="Calibri" w:eastAsia="Times New Roman" w:hAnsi="Calibri" w:cs="Calibri"/>
          <w:szCs w:val="24"/>
        </w:rPr>
      </w:pPr>
      <w:r w:rsidRPr="00AF2578">
        <w:rPr>
          <w:rFonts w:ascii="Calibri" w:eastAsia="Times New Roman" w:hAnsi="Calibri" w:cs="Calibri"/>
          <w:szCs w:val="24"/>
        </w:rPr>
        <w:t>The child welfare workforce provides services and supports to keep vulnerable children, youth, and families safe, stable, and healthy. Because of this, “a well-trained, highly skilled, well-resourced and appropriately deployed workforce is foundational to a child welfare agency’s ability to achieve best outcomes for the vulnerable children, youth and families it serves.”</w:t>
      </w:r>
      <w:r w:rsidRPr="00AF2578">
        <w:rPr>
          <w:rFonts w:ascii="Calibri" w:eastAsia="Times New Roman" w:hAnsi="Calibri" w:cs="Calibri"/>
          <w:szCs w:val="24"/>
          <w:vertAlign w:val="superscript"/>
        </w:rPr>
        <w:footnoteReference w:id="2"/>
      </w:r>
      <w:r w:rsidRPr="00AF2578">
        <w:rPr>
          <w:rFonts w:ascii="Calibri" w:eastAsia="Times New Roman" w:hAnsi="Calibri" w:cs="Calibri"/>
          <w:szCs w:val="24"/>
        </w:rPr>
        <w:t xml:space="preserve"> Retaining well-trained child welfare workers is a major challenge and high </w:t>
      </w:r>
      <w:r w:rsidR="00D34F6F">
        <w:rPr>
          <w:rFonts w:ascii="Calibri" w:eastAsia="Times New Roman" w:hAnsi="Calibri" w:cs="Calibri"/>
          <w:szCs w:val="24"/>
        </w:rPr>
        <w:t xml:space="preserve">rates of </w:t>
      </w:r>
      <w:r w:rsidRPr="00AF2578">
        <w:rPr>
          <w:rFonts w:ascii="Calibri" w:eastAsia="Times New Roman" w:hAnsi="Calibri" w:cs="Calibri"/>
          <w:szCs w:val="24"/>
        </w:rPr>
        <w:t xml:space="preserve">turnover </w:t>
      </w:r>
      <w:r w:rsidR="00D34F6F">
        <w:rPr>
          <w:rFonts w:ascii="Calibri" w:eastAsia="Times New Roman" w:hAnsi="Calibri" w:cs="Calibri"/>
          <w:szCs w:val="24"/>
        </w:rPr>
        <w:t>are</w:t>
      </w:r>
      <w:r w:rsidRPr="00AF2578">
        <w:rPr>
          <w:rFonts w:ascii="Calibri" w:eastAsia="Times New Roman" w:hAnsi="Calibri" w:cs="Calibri"/>
          <w:szCs w:val="24"/>
        </w:rPr>
        <w:t xml:space="preserve"> an ongoing problem within the child welfare workforce. </w:t>
      </w:r>
      <w:r w:rsidR="00D34F6F">
        <w:rPr>
          <w:rFonts w:ascii="Calibri" w:eastAsia="Times New Roman" w:hAnsi="Calibri" w:cs="Calibri"/>
          <w:szCs w:val="24"/>
        </w:rPr>
        <w:t xml:space="preserve">Although the results are now dated, a national study of the child welfare workforce published in 2001 found that 20% of public child welfare workers and 40% of child welfare workers in the private sector turned over annually; </w:t>
      </w:r>
      <w:r w:rsidR="00A14BB7">
        <w:rPr>
          <w:rFonts w:ascii="Calibri" w:eastAsia="Times New Roman" w:hAnsi="Calibri" w:cs="Calibri"/>
          <w:szCs w:val="24"/>
        </w:rPr>
        <w:t>in addition, 8% of public child welfare supervisors and 28% of supervisors in the private sector left their jobs annually.</w:t>
      </w:r>
      <w:r w:rsidR="00A14BB7">
        <w:rPr>
          <w:rStyle w:val="FootnoteReference"/>
          <w:rFonts w:ascii="Calibri" w:eastAsia="Times New Roman" w:hAnsi="Calibri" w:cs="Calibri"/>
          <w:szCs w:val="24"/>
        </w:rPr>
        <w:footnoteReference w:id="3"/>
      </w:r>
      <w:r w:rsidR="00A14BB7">
        <w:rPr>
          <w:rFonts w:ascii="Calibri" w:eastAsia="Times New Roman" w:hAnsi="Calibri" w:cs="Calibri"/>
          <w:szCs w:val="24"/>
        </w:rPr>
        <w:t xml:space="preserve"> </w:t>
      </w:r>
      <w:r w:rsidR="00F46317">
        <w:rPr>
          <w:rFonts w:ascii="Calibri" w:eastAsia="Times New Roman" w:hAnsi="Calibri" w:cs="Calibri"/>
          <w:szCs w:val="24"/>
        </w:rPr>
        <w:t>A</w:t>
      </w:r>
      <w:r w:rsidRPr="00AF2578">
        <w:rPr>
          <w:rFonts w:ascii="Calibri" w:eastAsia="Times New Roman" w:hAnsi="Calibri" w:cs="Calibri"/>
          <w:szCs w:val="24"/>
        </w:rPr>
        <w:t xml:space="preserve">dditionally, </w:t>
      </w:r>
      <w:r w:rsidR="00836F1A">
        <w:rPr>
          <w:rFonts w:ascii="Calibri" w:eastAsia="Times New Roman" w:hAnsi="Calibri" w:cs="Calibri"/>
          <w:szCs w:val="24"/>
        </w:rPr>
        <w:t xml:space="preserve">the average tenure of public agency </w:t>
      </w:r>
      <w:r w:rsidR="00F46317">
        <w:rPr>
          <w:rFonts w:ascii="Calibri" w:eastAsia="Times New Roman" w:hAnsi="Calibri" w:cs="Calibri"/>
          <w:szCs w:val="24"/>
        </w:rPr>
        <w:t xml:space="preserve">child welfare </w:t>
      </w:r>
      <w:r w:rsidRPr="00AF2578">
        <w:rPr>
          <w:rFonts w:ascii="Calibri" w:eastAsia="Times New Roman" w:hAnsi="Calibri" w:cs="Calibri"/>
          <w:szCs w:val="24"/>
        </w:rPr>
        <w:t>workers</w:t>
      </w:r>
      <w:r w:rsidR="00836F1A">
        <w:rPr>
          <w:rFonts w:ascii="Calibri" w:eastAsia="Times New Roman" w:hAnsi="Calibri" w:cs="Calibri"/>
          <w:szCs w:val="24"/>
        </w:rPr>
        <w:t xml:space="preserve"> was 7 years, compared to 3 years for private agency workers.</w:t>
      </w:r>
      <w:r w:rsidRPr="00AF2578">
        <w:rPr>
          <w:rFonts w:ascii="Calibri" w:eastAsia="Times New Roman" w:hAnsi="Calibri" w:cs="Calibri"/>
          <w:szCs w:val="24"/>
          <w:vertAlign w:val="superscript"/>
        </w:rPr>
        <w:footnoteReference w:id="4"/>
      </w:r>
      <w:r w:rsidRPr="00AF2578">
        <w:rPr>
          <w:rFonts w:ascii="Calibri" w:eastAsia="Times New Roman" w:hAnsi="Calibri" w:cs="Calibri"/>
          <w:szCs w:val="24"/>
        </w:rPr>
        <w:t xml:space="preserve"> </w:t>
      </w:r>
    </w:p>
    <w:p w14:paraId="655A56A1" w14:textId="77777777" w:rsidR="00836F1A" w:rsidRDefault="00836F1A" w:rsidP="00733942">
      <w:pPr>
        <w:spacing w:after="0"/>
        <w:rPr>
          <w:rFonts w:ascii="Calibri" w:eastAsia="Times New Roman" w:hAnsi="Calibri" w:cs="Calibri"/>
          <w:szCs w:val="24"/>
        </w:rPr>
      </w:pPr>
    </w:p>
    <w:p w14:paraId="182080B4" w14:textId="06535B00" w:rsidR="00AF2578" w:rsidRPr="00AF2578" w:rsidRDefault="00836F1A" w:rsidP="00733942">
      <w:pPr>
        <w:spacing w:after="0"/>
        <w:rPr>
          <w:rFonts w:ascii="Calibri" w:eastAsia="Times New Roman" w:hAnsi="Calibri" w:cs="Calibri"/>
          <w:szCs w:val="24"/>
        </w:rPr>
      </w:pPr>
      <w:r>
        <w:rPr>
          <w:rFonts w:ascii="Calibri" w:eastAsia="Times New Roman" w:hAnsi="Calibri" w:cs="Calibri"/>
          <w:szCs w:val="24"/>
        </w:rPr>
        <w:t>The h</w:t>
      </w:r>
      <w:r w:rsidRPr="00AF2578">
        <w:rPr>
          <w:rFonts w:ascii="Calibri" w:eastAsia="Times New Roman" w:hAnsi="Calibri" w:cs="Calibri"/>
          <w:szCs w:val="24"/>
        </w:rPr>
        <w:t xml:space="preserve">igh </w:t>
      </w:r>
      <w:r>
        <w:rPr>
          <w:rFonts w:ascii="Calibri" w:eastAsia="Times New Roman" w:hAnsi="Calibri" w:cs="Calibri"/>
          <w:szCs w:val="24"/>
        </w:rPr>
        <w:t xml:space="preserve">rate of </w:t>
      </w:r>
      <w:r w:rsidRPr="00AF2578">
        <w:rPr>
          <w:rFonts w:ascii="Calibri" w:eastAsia="Times New Roman" w:hAnsi="Calibri" w:cs="Calibri"/>
          <w:szCs w:val="24"/>
        </w:rPr>
        <w:t>employ</w:t>
      </w:r>
      <w:r>
        <w:rPr>
          <w:rFonts w:ascii="Calibri" w:eastAsia="Times New Roman" w:hAnsi="Calibri" w:cs="Calibri"/>
          <w:szCs w:val="24"/>
        </w:rPr>
        <w:t>ee</w:t>
      </w:r>
      <w:r w:rsidRPr="00AF2578">
        <w:rPr>
          <w:rFonts w:ascii="Calibri" w:eastAsia="Times New Roman" w:hAnsi="Calibri" w:cs="Calibri"/>
          <w:szCs w:val="24"/>
        </w:rPr>
        <w:t xml:space="preserve"> turnover in the child welfare workforce is a significant probl</w:t>
      </w:r>
      <w:r>
        <w:rPr>
          <w:rFonts w:ascii="Calibri" w:eastAsia="Times New Roman" w:hAnsi="Calibri" w:cs="Calibri"/>
          <w:szCs w:val="24"/>
        </w:rPr>
        <w:t xml:space="preserve">em that has numerous and </w:t>
      </w:r>
      <w:r w:rsidR="00AF2578" w:rsidRPr="00AF2578">
        <w:rPr>
          <w:rFonts w:ascii="Calibri" w:eastAsia="Times New Roman" w:hAnsi="Calibri" w:cs="Calibri"/>
          <w:szCs w:val="24"/>
        </w:rPr>
        <w:t>significant short- and long-term consequences, including strain on workers who remain and diminished quality of services.</w:t>
      </w:r>
      <w:r w:rsidR="00AF2578" w:rsidRPr="00AF2578">
        <w:rPr>
          <w:rFonts w:ascii="Calibri" w:eastAsia="Times New Roman" w:hAnsi="Calibri" w:cs="Calibri"/>
          <w:szCs w:val="24"/>
          <w:vertAlign w:val="superscript"/>
        </w:rPr>
        <w:footnoteReference w:id="5"/>
      </w:r>
      <w:r w:rsidR="00AF2578" w:rsidRPr="00AF2578">
        <w:rPr>
          <w:rFonts w:ascii="Calibri" w:eastAsia="Times New Roman" w:hAnsi="Calibri" w:cs="Calibri"/>
          <w:szCs w:val="24"/>
        </w:rPr>
        <w:t xml:space="preserve"> </w:t>
      </w:r>
      <w:r>
        <w:rPr>
          <w:rFonts w:ascii="Calibri" w:eastAsia="Times New Roman" w:hAnsi="Calibri" w:cs="Calibri"/>
          <w:szCs w:val="24"/>
        </w:rPr>
        <w:t>T</w:t>
      </w:r>
      <w:r w:rsidR="00AF2578" w:rsidRPr="00AF2578">
        <w:rPr>
          <w:rFonts w:ascii="Calibri" w:eastAsia="Times New Roman" w:hAnsi="Calibri" w:cs="Calibri"/>
          <w:szCs w:val="24"/>
        </w:rPr>
        <w:t>urnover leads to staff shortages and case transfers, resulting in case disruptions and overburdened workers. Turnover also strains limited agency resources because hiring and training new workers results in significant expenses to the agency. The total cost to replace a single worker can exceed $57,000, according to one estimate.</w:t>
      </w:r>
      <w:r w:rsidR="00AF2578" w:rsidRPr="00AF2578">
        <w:rPr>
          <w:rFonts w:ascii="Calibri" w:eastAsia="Times New Roman" w:hAnsi="Calibri" w:cs="Calibri"/>
          <w:szCs w:val="24"/>
          <w:vertAlign w:val="superscript"/>
        </w:rPr>
        <w:footnoteReference w:id="6"/>
      </w:r>
      <w:r w:rsidR="00AF2578" w:rsidRPr="00AF2578">
        <w:rPr>
          <w:rFonts w:ascii="Calibri" w:eastAsia="Times New Roman" w:hAnsi="Calibri" w:cs="Calibri"/>
          <w:szCs w:val="24"/>
        </w:rPr>
        <w:t xml:space="preserve"> </w:t>
      </w:r>
    </w:p>
    <w:p w14:paraId="31F643CC" w14:textId="77777777" w:rsidR="00AF2578" w:rsidRPr="00AF2578" w:rsidRDefault="00AF2578" w:rsidP="00AF2578">
      <w:pPr>
        <w:spacing w:after="0"/>
        <w:rPr>
          <w:rFonts w:ascii="Calibri" w:eastAsia="Times New Roman" w:hAnsi="Calibri" w:cs="Calibri"/>
          <w:szCs w:val="24"/>
        </w:rPr>
      </w:pPr>
    </w:p>
    <w:p w14:paraId="3069FEE1" w14:textId="4FE0CD12" w:rsidR="00AF2578" w:rsidRDefault="00E91FFC" w:rsidP="00B13375">
      <w:pPr>
        <w:spacing w:after="0"/>
      </w:pPr>
      <w:r>
        <w:rPr>
          <w:rFonts w:ascii="Calibri" w:eastAsia="Times New Roman" w:hAnsi="Calibri" w:cs="Calibri"/>
          <w:szCs w:val="24"/>
        </w:rPr>
        <w:t>This literature review assesses the impact of work</w:t>
      </w:r>
      <w:r w:rsidR="00AC78BB">
        <w:rPr>
          <w:rFonts w:ascii="Calibri" w:eastAsia="Times New Roman" w:hAnsi="Calibri" w:cs="Calibri"/>
          <w:szCs w:val="24"/>
        </w:rPr>
        <w:t xml:space="preserve">force </w:t>
      </w:r>
      <w:r>
        <w:rPr>
          <w:rFonts w:ascii="Calibri" w:eastAsia="Times New Roman" w:hAnsi="Calibri" w:cs="Calibri"/>
          <w:szCs w:val="24"/>
        </w:rPr>
        <w:t>turnover on child welfare system performance, ex</w:t>
      </w:r>
      <w:r w:rsidR="00AF2578" w:rsidRPr="00AF2578">
        <w:rPr>
          <w:rFonts w:ascii="Calibri" w:eastAsia="Times New Roman" w:hAnsi="Calibri" w:cs="Calibri"/>
          <w:szCs w:val="24"/>
        </w:rPr>
        <w:t>amine</w:t>
      </w:r>
      <w:r>
        <w:rPr>
          <w:rFonts w:ascii="Calibri" w:eastAsia="Times New Roman" w:hAnsi="Calibri" w:cs="Calibri"/>
          <w:szCs w:val="24"/>
        </w:rPr>
        <w:t>s</w:t>
      </w:r>
      <w:r w:rsidR="00AF2578" w:rsidRPr="00AF2578">
        <w:rPr>
          <w:rFonts w:ascii="Calibri" w:eastAsia="Times New Roman" w:hAnsi="Calibri" w:cs="Calibri"/>
          <w:szCs w:val="24"/>
        </w:rPr>
        <w:t xml:space="preserve"> research aimed at understanding the factors associated with turnover, and identif</w:t>
      </w:r>
      <w:r w:rsidR="00AC78BB">
        <w:rPr>
          <w:rFonts w:ascii="Calibri" w:eastAsia="Times New Roman" w:hAnsi="Calibri" w:cs="Calibri"/>
          <w:szCs w:val="24"/>
        </w:rPr>
        <w:t>ies</w:t>
      </w:r>
      <w:r w:rsidR="00AF2578" w:rsidRPr="00AF2578">
        <w:rPr>
          <w:rFonts w:ascii="Calibri" w:eastAsia="Times New Roman" w:hAnsi="Calibri" w:cs="Calibri"/>
          <w:szCs w:val="24"/>
        </w:rPr>
        <w:t xml:space="preserve"> promising strategies to address turnover and retention. </w:t>
      </w:r>
      <w:r w:rsidR="00DE4579">
        <w:tab/>
      </w:r>
    </w:p>
    <w:p w14:paraId="4BA39699" w14:textId="78ADEAC9" w:rsidR="0092780C" w:rsidRDefault="0092780C" w:rsidP="00B13375">
      <w:pPr>
        <w:spacing w:after="0"/>
      </w:pPr>
      <w:r>
        <w:tab/>
      </w:r>
    </w:p>
    <w:p w14:paraId="09E9678A" w14:textId="6D2095E4" w:rsidR="007F70DC" w:rsidRPr="00733942" w:rsidRDefault="00FB3062" w:rsidP="00CC0ABF">
      <w:pPr>
        <w:pStyle w:val="Heading2"/>
        <w:spacing w:before="0" w:after="0"/>
        <w:ind w:left="720" w:hanging="720"/>
        <w:rPr>
          <w:sz w:val="28"/>
          <w:szCs w:val="28"/>
        </w:rPr>
      </w:pPr>
      <w:bookmarkStart w:id="4" w:name="_Toc52403559"/>
      <w:r w:rsidRPr="00685B23">
        <w:rPr>
          <w:sz w:val="28"/>
          <w:szCs w:val="28"/>
        </w:rPr>
        <w:t>2.</w:t>
      </w:r>
      <w:r w:rsidR="003D7107">
        <w:rPr>
          <w:sz w:val="28"/>
          <w:szCs w:val="28"/>
        </w:rPr>
        <w:t>2</w:t>
      </w:r>
      <w:r w:rsidR="000C240A">
        <w:rPr>
          <w:sz w:val="32"/>
          <w:szCs w:val="32"/>
        </w:rPr>
        <w:tab/>
      </w:r>
      <w:r w:rsidR="00733942" w:rsidRPr="00733942">
        <w:rPr>
          <w:sz w:val="28"/>
          <w:szCs w:val="28"/>
        </w:rPr>
        <w:t xml:space="preserve">The Impact of Turnover and Retention on Child Welfare </w:t>
      </w:r>
      <w:r w:rsidR="00CC0ABF">
        <w:rPr>
          <w:sz w:val="28"/>
          <w:szCs w:val="28"/>
        </w:rPr>
        <w:t>System Performance</w:t>
      </w:r>
      <w:bookmarkEnd w:id="4"/>
      <w:r w:rsidR="00733942" w:rsidRPr="00733942">
        <w:rPr>
          <w:sz w:val="28"/>
          <w:szCs w:val="28"/>
        </w:rPr>
        <w:t xml:space="preserve"> </w:t>
      </w:r>
    </w:p>
    <w:p w14:paraId="4908DEE0" w14:textId="77777777" w:rsidR="003F04B4" w:rsidRDefault="003F04B4" w:rsidP="00B13375">
      <w:pPr>
        <w:pStyle w:val="Heading3"/>
        <w:spacing w:before="0" w:after="0"/>
      </w:pPr>
    </w:p>
    <w:p w14:paraId="0F03FE6C" w14:textId="3C1F683B" w:rsidR="005B66C8" w:rsidRDefault="00F901D8" w:rsidP="00B13375">
      <w:pPr>
        <w:spacing w:after="0"/>
        <w:rPr>
          <w:rFonts w:ascii="Calibri" w:eastAsia="Times New Roman" w:hAnsi="Calibri" w:cs="Calibri"/>
          <w:szCs w:val="24"/>
        </w:rPr>
      </w:pPr>
      <w:r>
        <w:rPr>
          <w:rFonts w:ascii="Calibri" w:eastAsia="Times New Roman" w:hAnsi="Calibri" w:cs="Calibri"/>
          <w:szCs w:val="24"/>
        </w:rPr>
        <w:t xml:space="preserve">As mentioned earlier, high rates of employee turnover have several potential impacts on child welfare system performance. </w:t>
      </w:r>
      <w:r w:rsidR="00B77181">
        <w:rPr>
          <w:rFonts w:ascii="Calibri" w:eastAsia="Times New Roman" w:hAnsi="Calibri" w:cs="Calibri"/>
          <w:szCs w:val="24"/>
        </w:rPr>
        <w:t xml:space="preserve">When a child welfare worker leaves, cases on their caseload must be reassigned to other workers at the agency. The resulting increased caseloads make it more difficult for caseworkers to engage in high quality social work practices such as engaging with clients, performing thorough assessments, </w:t>
      </w:r>
      <w:r w:rsidR="005B66C8">
        <w:rPr>
          <w:rFonts w:ascii="Calibri" w:eastAsia="Times New Roman" w:hAnsi="Calibri" w:cs="Calibri"/>
          <w:szCs w:val="24"/>
        </w:rPr>
        <w:t xml:space="preserve">completing case plans and other documentation, </w:t>
      </w:r>
      <w:r w:rsidR="00B77181">
        <w:rPr>
          <w:rFonts w:ascii="Calibri" w:eastAsia="Times New Roman" w:hAnsi="Calibri" w:cs="Calibri"/>
          <w:szCs w:val="24"/>
        </w:rPr>
        <w:t xml:space="preserve">conducting necessary home visits, and </w:t>
      </w:r>
      <w:r w:rsidR="005B66C8">
        <w:rPr>
          <w:rFonts w:ascii="Calibri" w:eastAsia="Times New Roman" w:hAnsi="Calibri" w:cs="Calibri"/>
          <w:szCs w:val="24"/>
        </w:rPr>
        <w:t>making carefully considered decisions regarding safety and permanency. It is reasonable to assume that the negative impact of turnover on the remaining child welfare worker performance will have an impact on child and family outcomes, such as child safety, placement stability, and the likelihood that a child will achieve a permanent home through reunification, adoption, or guardianship. Although the relationship between turnover, child welfare system performance or processes, and child and family outcomes seems logical, the research evidence for these relationships is scant. As a recent article articulated, “It is important to consider that real world systems function dynamically and it is difficult to know whether job turnover causes a malfunctioning system or is a symptom of it</w:t>
      </w:r>
      <w:r w:rsidR="00AE5F23">
        <w:rPr>
          <w:rFonts w:ascii="Calibri" w:eastAsia="Times New Roman" w:hAnsi="Calibri" w:cs="Calibri"/>
          <w:szCs w:val="24"/>
        </w:rPr>
        <w:t>.”</w:t>
      </w:r>
      <w:r w:rsidR="00AE5F23">
        <w:rPr>
          <w:rStyle w:val="FootnoteReference"/>
          <w:rFonts w:ascii="Calibri" w:eastAsia="Times New Roman" w:hAnsi="Calibri" w:cs="Calibri"/>
          <w:szCs w:val="24"/>
        </w:rPr>
        <w:footnoteReference w:id="7"/>
      </w:r>
      <w:r w:rsidR="009C0FF3">
        <w:rPr>
          <w:rFonts w:ascii="Calibri" w:eastAsia="Times New Roman" w:hAnsi="Calibri" w:cs="Calibri"/>
          <w:szCs w:val="24"/>
        </w:rPr>
        <w:t xml:space="preserve"> In this section, we review the findings of the small number of studies that have examined these relationships. </w:t>
      </w:r>
    </w:p>
    <w:p w14:paraId="58541B4F" w14:textId="77777777" w:rsidR="005B66C8" w:rsidRDefault="005B66C8" w:rsidP="00B13375">
      <w:pPr>
        <w:spacing w:after="0"/>
        <w:rPr>
          <w:rFonts w:ascii="Calibri" w:eastAsia="Times New Roman" w:hAnsi="Calibri" w:cs="Calibri"/>
          <w:szCs w:val="24"/>
        </w:rPr>
      </w:pPr>
    </w:p>
    <w:p w14:paraId="32EA5E15" w14:textId="4C24940E" w:rsidR="00774DF4" w:rsidRPr="003F04B4" w:rsidRDefault="00774DF4" w:rsidP="00774DF4">
      <w:pPr>
        <w:spacing w:after="0"/>
        <w:rPr>
          <w:rFonts w:ascii="Calibri" w:eastAsia="Times New Roman" w:hAnsi="Calibri" w:cs="Calibri"/>
          <w:szCs w:val="24"/>
        </w:rPr>
      </w:pPr>
      <w:r>
        <w:rPr>
          <w:rFonts w:ascii="Calibri" w:eastAsia="Times New Roman" w:hAnsi="Calibri" w:cs="Calibri"/>
          <w:szCs w:val="24"/>
        </w:rPr>
        <w:t>In a 2003 study, researchers from the U.S. Government Accounting Office (GAO) did focus groups with child welfare workers in four states to gather information on the reasons for and impacts of child welfare turnover.</w:t>
      </w:r>
      <w:r w:rsidR="00FA0147" w:rsidRPr="00FA0147">
        <w:rPr>
          <w:rFonts w:ascii="Calibri" w:eastAsia="Times New Roman" w:hAnsi="Calibri" w:cs="Calibri"/>
          <w:szCs w:val="24"/>
          <w:vertAlign w:val="superscript"/>
        </w:rPr>
        <w:t xml:space="preserve"> </w:t>
      </w:r>
      <w:r w:rsidR="00FA0147" w:rsidRPr="003F04B4">
        <w:rPr>
          <w:rFonts w:ascii="Calibri" w:eastAsia="Times New Roman" w:hAnsi="Calibri" w:cs="Calibri"/>
          <w:szCs w:val="24"/>
          <w:vertAlign w:val="superscript"/>
        </w:rPr>
        <w:footnoteReference w:id="8"/>
      </w:r>
      <w:r w:rsidR="00FA0147" w:rsidRPr="003F04B4">
        <w:rPr>
          <w:rFonts w:ascii="Calibri" w:eastAsia="Times New Roman" w:hAnsi="Calibri" w:cs="Calibri"/>
          <w:szCs w:val="24"/>
          <w:vertAlign w:val="superscript"/>
        </w:rPr>
        <w:t xml:space="preserve"> </w:t>
      </w:r>
      <w:r>
        <w:rPr>
          <w:rFonts w:ascii="Calibri" w:eastAsia="Times New Roman" w:hAnsi="Calibri" w:cs="Calibri"/>
          <w:szCs w:val="24"/>
        </w:rPr>
        <w:t xml:space="preserve"> </w:t>
      </w:r>
      <w:r w:rsidR="00FA0147">
        <w:rPr>
          <w:rFonts w:ascii="Calibri" w:eastAsia="Times New Roman" w:hAnsi="Calibri" w:cs="Calibri"/>
          <w:szCs w:val="24"/>
        </w:rPr>
        <w:t>According to caseworkers in all four states, h</w:t>
      </w:r>
      <w:r w:rsidRPr="003F04B4">
        <w:rPr>
          <w:rFonts w:ascii="Calibri" w:eastAsia="Times New Roman" w:hAnsi="Calibri" w:cs="Calibri"/>
          <w:szCs w:val="24"/>
        </w:rPr>
        <w:t>igh turnover rates (combined with staff shortages) le</w:t>
      </w:r>
      <w:r w:rsidR="00FA0147">
        <w:rPr>
          <w:rFonts w:ascii="Calibri" w:eastAsia="Times New Roman" w:hAnsi="Calibri" w:cs="Calibri"/>
          <w:szCs w:val="24"/>
        </w:rPr>
        <w:t>d</w:t>
      </w:r>
      <w:r w:rsidRPr="003F04B4">
        <w:rPr>
          <w:rFonts w:ascii="Calibri" w:eastAsia="Times New Roman" w:hAnsi="Calibri" w:cs="Calibri"/>
          <w:szCs w:val="24"/>
        </w:rPr>
        <w:t xml:space="preserve"> to insufficient time to establish relationships with children and families and </w:t>
      </w:r>
      <w:r w:rsidR="00FA0147">
        <w:rPr>
          <w:rFonts w:ascii="Calibri" w:eastAsia="Times New Roman" w:hAnsi="Calibri" w:cs="Calibri"/>
          <w:szCs w:val="24"/>
        </w:rPr>
        <w:t xml:space="preserve">to </w:t>
      </w:r>
      <w:r w:rsidRPr="003F04B4">
        <w:rPr>
          <w:rFonts w:ascii="Calibri" w:eastAsia="Times New Roman" w:hAnsi="Calibri" w:cs="Calibri"/>
          <w:szCs w:val="24"/>
        </w:rPr>
        <w:t xml:space="preserve">make the necessary decisions to ensure safe and stable placements. Caseworkers </w:t>
      </w:r>
      <w:r w:rsidR="00FA0147">
        <w:rPr>
          <w:rFonts w:ascii="Calibri" w:eastAsia="Times New Roman" w:hAnsi="Calibri" w:cs="Calibri"/>
          <w:szCs w:val="24"/>
        </w:rPr>
        <w:t>r</w:t>
      </w:r>
      <w:r w:rsidRPr="003F04B4">
        <w:rPr>
          <w:rFonts w:ascii="Calibri" w:eastAsia="Times New Roman" w:hAnsi="Calibri" w:cs="Calibri"/>
          <w:szCs w:val="24"/>
        </w:rPr>
        <w:t xml:space="preserve">eported that gathering information to develop and manage a child’s case requires trust between the child and the caseworker. Due to turnover, trust is disrupted, making it difficult for caseworkers to elicit necessary information to ensure appropriate care for children. Additionally, transitioning cases to remaining staff takes time and can result in delays or changes in permanency decisions. </w:t>
      </w:r>
      <w:r w:rsidR="009A35BA">
        <w:rPr>
          <w:rFonts w:ascii="Calibri" w:eastAsia="Times New Roman" w:hAnsi="Calibri" w:cs="Calibri"/>
          <w:szCs w:val="24"/>
        </w:rPr>
        <w:t xml:space="preserve">These findings were corroborated in a </w:t>
      </w:r>
      <w:r w:rsidRPr="003F04B4">
        <w:rPr>
          <w:rFonts w:ascii="Calibri" w:eastAsia="Times New Roman" w:hAnsi="Calibri" w:cs="Calibri"/>
          <w:szCs w:val="24"/>
        </w:rPr>
        <w:t xml:space="preserve">2010 qualitative study </w:t>
      </w:r>
      <w:r w:rsidR="009A35BA">
        <w:rPr>
          <w:rFonts w:ascii="Calibri" w:eastAsia="Times New Roman" w:hAnsi="Calibri" w:cs="Calibri"/>
          <w:szCs w:val="24"/>
        </w:rPr>
        <w:t>with you</w:t>
      </w:r>
      <w:r w:rsidRPr="003F04B4">
        <w:rPr>
          <w:rFonts w:ascii="Calibri" w:eastAsia="Times New Roman" w:hAnsi="Calibri" w:cs="Calibri"/>
          <w:szCs w:val="24"/>
        </w:rPr>
        <w:t xml:space="preserve">th in care, </w:t>
      </w:r>
      <w:r w:rsidR="009A35BA">
        <w:rPr>
          <w:rFonts w:ascii="Calibri" w:eastAsia="Times New Roman" w:hAnsi="Calibri" w:cs="Calibri"/>
          <w:szCs w:val="24"/>
        </w:rPr>
        <w:t xml:space="preserve">who </w:t>
      </w:r>
      <w:r w:rsidRPr="003F04B4">
        <w:rPr>
          <w:rFonts w:ascii="Calibri" w:eastAsia="Times New Roman" w:hAnsi="Calibri" w:cs="Calibri"/>
          <w:szCs w:val="24"/>
        </w:rPr>
        <w:t xml:space="preserve">reported </w:t>
      </w:r>
      <w:r w:rsidR="009A35BA">
        <w:rPr>
          <w:rFonts w:ascii="Calibri" w:eastAsia="Times New Roman" w:hAnsi="Calibri" w:cs="Calibri"/>
          <w:szCs w:val="24"/>
        </w:rPr>
        <w:t xml:space="preserve">that they experienced a </w:t>
      </w:r>
      <w:r w:rsidRPr="003F04B4">
        <w:rPr>
          <w:rFonts w:ascii="Calibri" w:eastAsia="Times New Roman" w:hAnsi="Calibri" w:cs="Calibri"/>
          <w:szCs w:val="24"/>
        </w:rPr>
        <w:t xml:space="preserve">lack of stability and loss of trust due to turnover among </w:t>
      </w:r>
      <w:r w:rsidR="009A35BA">
        <w:rPr>
          <w:rFonts w:ascii="Calibri" w:eastAsia="Times New Roman" w:hAnsi="Calibri" w:cs="Calibri"/>
          <w:szCs w:val="24"/>
        </w:rPr>
        <w:t xml:space="preserve">their </w:t>
      </w:r>
      <w:r w:rsidRPr="003F04B4">
        <w:rPr>
          <w:rFonts w:ascii="Calibri" w:eastAsia="Times New Roman" w:hAnsi="Calibri" w:cs="Calibri"/>
          <w:szCs w:val="24"/>
        </w:rPr>
        <w:t>child welfare workers.</w:t>
      </w:r>
      <w:r w:rsidRPr="003F04B4">
        <w:rPr>
          <w:rFonts w:ascii="Calibri" w:eastAsia="Times New Roman" w:hAnsi="Calibri" w:cs="Calibri"/>
          <w:szCs w:val="24"/>
          <w:vertAlign w:val="superscript"/>
        </w:rPr>
        <w:footnoteReference w:id="9"/>
      </w:r>
      <w:r w:rsidRPr="003F04B4">
        <w:rPr>
          <w:rFonts w:ascii="Calibri" w:eastAsia="Times New Roman" w:hAnsi="Calibri" w:cs="Calibri"/>
          <w:szCs w:val="24"/>
        </w:rPr>
        <w:t xml:space="preserve"> </w:t>
      </w:r>
    </w:p>
    <w:p w14:paraId="44929C37" w14:textId="77777777" w:rsidR="00774DF4" w:rsidRDefault="00774DF4" w:rsidP="00B13375">
      <w:pPr>
        <w:spacing w:after="0"/>
        <w:rPr>
          <w:rFonts w:ascii="Calibri" w:eastAsia="Times New Roman" w:hAnsi="Calibri" w:cs="Calibri"/>
          <w:szCs w:val="24"/>
        </w:rPr>
      </w:pPr>
    </w:p>
    <w:p w14:paraId="6C1BEAA9" w14:textId="3713E09F" w:rsidR="003F04B4" w:rsidRDefault="00CE2567" w:rsidP="00B13375">
      <w:pPr>
        <w:spacing w:after="0"/>
        <w:rPr>
          <w:rFonts w:ascii="Calibri" w:eastAsia="Times New Roman" w:hAnsi="Calibri" w:cs="Calibri"/>
          <w:szCs w:val="24"/>
        </w:rPr>
      </w:pPr>
      <w:r>
        <w:rPr>
          <w:rFonts w:ascii="Calibri" w:eastAsia="Times New Roman" w:hAnsi="Calibri" w:cs="Calibri"/>
          <w:szCs w:val="24"/>
        </w:rPr>
        <w:t xml:space="preserve">The GAO study also </w:t>
      </w:r>
      <w:r w:rsidR="003F04B4" w:rsidRPr="003F04B4">
        <w:rPr>
          <w:rFonts w:ascii="Calibri" w:eastAsia="Times New Roman" w:hAnsi="Calibri" w:cs="Calibri"/>
          <w:szCs w:val="24"/>
        </w:rPr>
        <w:t xml:space="preserve">examined the relationship between the Child and Family Services Review (CFSR) findings from 27 states and </w:t>
      </w:r>
      <w:r w:rsidR="00EB32F0">
        <w:rPr>
          <w:rFonts w:ascii="Calibri" w:eastAsia="Times New Roman" w:hAnsi="Calibri" w:cs="Calibri"/>
          <w:szCs w:val="24"/>
        </w:rPr>
        <w:t>the presence of “workforce deficiencies” such as high caseloads, staff shortages, and inadequate training in their c</w:t>
      </w:r>
      <w:r w:rsidR="00AD5401">
        <w:rPr>
          <w:rFonts w:ascii="Calibri" w:eastAsia="Times New Roman" w:hAnsi="Calibri" w:cs="Calibri"/>
          <w:szCs w:val="24"/>
        </w:rPr>
        <w:t>hild welfare system</w:t>
      </w:r>
      <w:r w:rsidR="00EB32F0">
        <w:rPr>
          <w:rFonts w:ascii="Calibri" w:eastAsia="Times New Roman" w:hAnsi="Calibri" w:cs="Calibri"/>
          <w:szCs w:val="24"/>
        </w:rPr>
        <w:t>s</w:t>
      </w:r>
      <w:r w:rsidR="003F04B4" w:rsidRPr="003F04B4">
        <w:rPr>
          <w:rFonts w:ascii="Calibri" w:eastAsia="Times New Roman" w:hAnsi="Calibri" w:cs="Calibri"/>
          <w:szCs w:val="24"/>
        </w:rPr>
        <w:t>.</w:t>
      </w:r>
      <w:r w:rsidR="003F04B4" w:rsidRPr="003F04B4">
        <w:rPr>
          <w:rFonts w:ascii="Calibri" w:eastAsia="Times New Roman" w:hAnsi="Calibri" w:cs="Calibri"/>
          <w:szCs w:val="24"/>
          <w:vertAlign w:val="superscript"/>
        </w:rPr>
        <w:footnoteReference w:id="10"/>
      </w:r>
      <w:r w:rsidR="003F04B4" w:rsidRPr="003F04B4">
        <w:rPr>
          <w:rFonts w:ascii="Calibri" w:eastAsia="Times New Roman" w:hAnsi="Calibri" w:cs="Calibri"/>
          <w:szCs w:val="24"/>
        </w:rPr>
        <w:t xml:space="preserve"> </w:t>
      </w:r>
      <w:r w:rsidR="00EB32F0">
        <w:rPr>
          <w:rFonts w:ascii="Calibri" w:eastAsia="Times New Roman" w:hAnsi="Calibri" w:cs="Calibri"/>
          <w:szCs w:val="24"/>
        </w:rPr>
        <w:t xml:space="preserve">In all 27 of the CFSRs that were analyzed, the Department of Health and Human Services (HHS) cited these workforce deficiencies as factors that affected the attainment of at least one child welfare system assessment measures; the average number of performance measures that was affected by workforce deficiencies was 9. The performance measures that were affected by workforce deficiencies consisted of casework practices such as completing investigations in a timely manner, </w:t>
      </w:r>
      <w:r w:rsidR="00732C20">
        <w:rPr>
          <w:rFonts w:ascii="Calibri" w:eastAsia="Times New Roman" w:hAnsi="Calibri" w:cs="Calibri"/>
          <w:szCs w:val="24"/>
        </w:rPr>
        <w:t xml:space="preserve">making diligent efforts to reduce the risk of harm to children, establishing permanency goals in a timely manner, maintaining face-to-face contacts with parents to support attainment of case goals, and ensuring that case plans are developed jointly with assistance of parents. Thus, the GAO review found an association between workforce deficiencies, including high staff turnover and resulting vacancies, with caseworkers’ abilities to perform high quality case management. The study did not, however, link turnover to child welfare outcomes such as maltreatment recurrence, placement stability, or attainment of permanency. </w:t>
      </w:r>
    </w:p>
    <w:p w14:paraId="109D165F" w14:textId="00E00186" w:rsidR="00A34BE2" w:rsidRDefault="00A34BE2" w:rsidP="00B13375">
      <w:pPr>
        <w:spacing w:after="0"/>
        <w:rPr>
          <w:rFonts w:ascii="Calibri" w:eastAsia="Times New Roman" w:hAnsi="Calibri" w:cs="Calibri"/>
          <w:szCs w:val="24"/>
        </w:rPr>
      </w:pPr>
    </w:p>
    <w:p w14:paraId="6D5932C6" w14:textId="60080598" w:rsidR="00A34BE2" w:rsidRPr="003F04B4" w:rsidRDefault="00A34BE2" w:rsidP="00A34BE2">
      <w:pPr>
        <w:spacing w:after="0"/>
        <w:rPr>
          <w:rFonts w:ascii="Calibri" w:eastAsia="Times New Roman" w:hAnsi="Calibri" w:cs="Calibri"/>
          <w:szCs w:val="24"/>
        </w:rPr>
      </w:pPr>
      <w:r>
        <w:rPr>
          <w:rFonts w:ascii="Calibri" w:eastAsia="Times New Roman" w:hAnsi="Calibri" w:cs="Calibri"/>
          <w:szCs w:val="24"/>
        </w:rPr>
        <w:t xml:space="preserve">Another </w:t>
      </w:r>
      <w:r w:rsidR="00846093">
        <w:rPr>
          <w:rFonts w:ascii="Calibri" w:eastAsia="Times New Roman" w:hAnsi="Calibri" w:cs="Calibri"/>
          <w:szCs w:val="24"/>
        </w:rPr>
        <w:t>widely cited</w:t>
      </w:r>
      <w:r>
        <w:rPr>
          <w:rFonts w:ascii="Calibri" w:eastAsia="Times New Roman" w:hAnsi="Calibri" w:cs="Calibri"/>
          <w:szCs w:val="24"/>
        </w:rPr>
        <w:t xml:space="preserve"> study examined the relationship between caseworker turnover and the attainment of permanency within the Bureau of Milwaukee Child Welfare (BMCW).</w:t>
      </w:r>
      <w:r w:rsidRPr="003F04B4">
        <w:rPr>
          <w:rFonts w:ascii="Calibri" w:eastAsia="Times New Roman" w:hAnsi="Calibri" w:cs="Calibri"/>
          <w:szCs w:val="24"/>
          <w:vertAlign w:val="superscript"/>
        </w:rPr>
        <w:footnoteReference w:id="11"/>
      </w:r>
      <w:r w:rsidRPr="003F04B4">
        <w:rPr>
          <w:rFonts w:ascii="Calibri" w:eastAsia="Times New Roman" w:hAnsi="Calibri" w:cs="Calibri"/>
          <w:szCs w:val="24"/>
          <w:vertAlign w:val="superscript"/>
        </w:rPr>
        <w:t xml:space="preserve"> </w:t>
      </w:r>
    </w:p>
    <w:p w14:paraId="2CA71246" w14:textId="4C959B91" w:rsidR="00A34BE2" w:rsidRPr="003F04B4" w:rsidRDefault="00F553AB" w:rsidP="00B13375">
      <w:pPr>
        <w:spacing w:after="0"/>
        <w:rPr>
          <w:rFonts w:ascii="Calibri" w:eastAsia="Times New Roman" w:hAnsi="Calibri" w:cs="Calibri"/>
          <w:szCs w:val="24"/>
        </w:rPr>
      </w:pPr>
      <w:r>
        <w:rPr>
          <w:rFonts w:ascii="Calibri" w:eastAsia="Times New Roman" w:hAnsi="Calibri" w:cs="Calibri"/>
          <w:szCs w:val="24"/>
        </w:rPr>
        <w:t>However, t</w:t>
      </w:r>
      <w:r w:rsidR="00A34BE2">
        <w:rPr>
          <w:rFonts w:ascii="Calibri" w:eastAsia="Times New Roman" w:hAnsi="Calibri" w:cs="Calibri"/>
          <w:szCs w:val="24"/>
        </w:rPr>
        <w:t>his study defined “turnover” as the number</w:t>
      </w:r>
      <w:r w:rsidR="001E2E9A">
        <w:rPr>
          <w:rFonts w:ascii="Calibri" w:eastAsia="Times New Roman" w:hAnsi="Calibri" w:cs="Calibri"/>
          <w:szCs w:val="24"/>
        </w:rPr>
        <w:t>s</w:t>
      </w:r>
      <w:r w:rsidR="00A34BE2">
        <w:rPr>
          <w:rFonts w:ascii="Calibri" w:eastAsia="Times New Roman" w:hAnsi="Calibri" w:cs="Calibri"/>
          <w:szCs w:val="24"/>
        </w:rPr>
        <w:t xml:space="preserve"> of caseworkers that </w:t>
      </w:r>
      <w:r>
        <w:rPr>
          <w:rFonts w:ascii="Calibri" w:eastAsia="Times New Roman" w:hAnsi="Calibri" w:cs="Calibri"/>
          <w:szCs w:val="24"/>
        </w:rPr>
        <w:t>were assigned to a child’s ongoing permanency case between January 2003 and September 2004, as opposed to the more commonly used definition of worker’s intention to leave a child welfare agency or the child welfare field.</w:t>
      </w:r>
      <w:r w:rsidR="00504351">
        <w:rPr>
          <w:rFonts w:ascii="Calibri" w:eastAsia="Times New Roman" w:hAnsi="Calibri" w:cs="Calibri"/>
          <w:szCs w:val="24"/>
        </w:rPr>
        <w:t xml:space="preserve"> Unsurprisingly, the study found that the number of worker changes (or “turnovers”) associated with a case was </w:t>
      </w:r>
      <w:r w:rsidR="007B14A2">
        <w:rPr>
          <w:rFonts w:ascii="Calibri" w:eastAsia="Times New Roman" w:hAnsi="Calibri" w:cs="Calibri"/>
          <w:szCs w:val="24"/>
        </w:rPr>
        <w:t>negative</w:t>
      </w:r>
      <w:r w:rsidR="00964E9E">
        <w:rPr>
          <w:rFonts w:ascii="Calibri" w:eastAsia="Times New Roman" w:hAnsi="Calibri" w:cs="Calibri"/>
          <w:szCs w:val="24"/>
        </w:rPr>
        <w:t>ly</w:t>
      </w:r>
      <w:r w:rsidR="007B14A2">
        <w:rPr>
          <w:rFonts w:ascii="Calibri" w:eastAsia="Times New Roman" w:hAnsi="Calibri" w:cs="Calibri"/>
          <w:szCs w:val="24"/>
        </w:rPr>
        <w:t xml:space="preserve"> related to the child’s likelihood of achieving permanency (the article does not define what types of permanency are included in the analysis). </w:t>
      </w:r>
      <w:r w:rsidR="0096637B">
        <w:rPr>
          <w:rFonts w:ascii="Calibri" w:eastAsia="Times New Roman" w:hAnsi="Calibri" w:cs="Calibri"/>
          <w:szCs w:val="24"/>
        </w:rPr>
        <w:t xml:space="preserve">The problem with this type of correlational analysis is that there were likely to be other unmeasured variables that were related to both a child’s number of caseworkers and his or her likelihood of achieving permanency. For instance, </w:t>
      </w:r>
      <w:r w:rsidR="00243E0D">
        <w:rPr>
          <w:rFonts w:ascii="Calibri" w:eastAsia="Times New Roman" w:hAnsi="Calibri" w:cs="Calibri"/>
          <w:szCs w:val="24"/>
        </w:rPr>
        <w:t xml:space="preserve">children with severe behavioral or mental health needs change placements frequently, which can lead to an increase in the number of caseworkers and a decrease in the likelihood of </w:t>
      </w:r>
      <w:r w:rsidR="00C265B8">
        <w:rPr>
          <w:rFonts w:ascii="Calibri" w:eastAsia="Times New Roman" w:hAnsi="Calibri" w:cs="Calibri"/>
          <w:szCs w:val="24"/>
        </w:rPr>
        <w:t xml:space="preserve">being reunified or adopted. </w:t>
      </w:r>
      <w:r w:rsidR="00A60DDE">
        <w:rPr>
          <w:rFonts w:ascii="Calibri" w:eastAsia="Times New Roman" w:hAnsi="Calibri" w:cs="Calibri"/>
          <w:szCs w:val="24"/>
        </w:rPr>
        <w:t xml:space="preserve">Thus, both the definition of turnover and the weak evaluation design </w:t>
      </w:r>
      <w:r w:rsidR="002C1D9F">
        <w:rPr>
          <w:rFonts w:ascii="Calibri" w:eastAsia="Times New Roman" w:hAnsi="Calibri" w:cs="Calibri"/>
          <w:szCs w:val="24"/>
        </w:rPr>
        <w:t>limit the applicability of these findings to the current review.</w:t>
      </w:r>
    </w:p>
    <w:p w14:paraId="0606456B" w14:textId="77777777" w:rsidR="003F04B4" w:rsidRPr="003F04B4" w:rsidRDefault="003F04B4" w:rsidP="003F04B4">
      <w:pPr>
        <w:spacing w:after="0"/>
        <w:rPr>
          <w:rFonts w:ascii="Calibri" w:eastAsia="Times New Roman" w:hAnsi="Calibri" w:cs="Calibri"/>
          <w:szCs w:val="24"/>
        </w:rPr>
      </w:pPr>
    </w:p>
    <w:p w14:paraId="39A1BC44" w14:textId="6E2CC8B0" w:rsidR="003F04B4" w:rsidRPr="00752A11" w:rsidRDefault="00F52CA1" w:rsidP="00752A11">
      <w:pPr>
        <w:spacing w:after="0"/>
        <w:rPr>
          <w:rFonts w:ascii="Calibri" w:eastAsia="Times New Roman" w:hAnsi="Calibri" w:cs="Calibri"/>
          <w:szCs w:val="24"/>
        </w:rPr>
      </w:pPr>
      <w:r>
        <w:rPr>
          <w:rFonts w:ascii="Calibri" w:eastAsia="Times New Roman" w:hAnsi="Calibri" w:cs="Calibri"/>
          <w:szCs w:val="24"/>
        </w:rPr>
        <w:t xml:space="preserve">The National Council on Crime and Delinquency did a study that examined the relationships between turnover rates, workplace characteristics (average caseworker and supervisor salary, number of training days for new workers, worker to supervisor ratio, on-call time required, etc.), compliance with case practice standards (e.g., case processes), and outcomes (substantiated maltreatment recurrence within 3, 6, and 12 months) using data in 12 counties in California. </w:t>
      </w:r>
      <w:r w:rsidR="00752A11">
        <w:rPr>
          <w:rFonts w:ascii="Calibri" w:eastAsia="Times New Roman" w:hAnsi="Calibri" w:cs="Calibri"/>
          <w:szCs w:val="24"/>
        </w:rPr>
        <w:t xml:space="preserve">The results of the analyses found that agency-level turnover rates were significantly negatively correlated with three measures of casework practice: the percentage of in-home cases with approved case plans (r = -.82), the percentage of reunification cases with approved case plans (r = -.69), and </w:t>
      </w:r>
      <w:r w:rsidR="00106CBA">
        <w:rPr>
          <w:rFonts w:ascii="Calibri" w:eastAsia="Times New Roman" w:hAnsi="Calibri" w:cs="Calibri"/>
          <w:szCs w:val="24"/>
        </w:rPr>
        <w:t xml:space="preserve">percentage of placement cases compliant with face-to-face contact standards (r = -.61). </w:t>
      </w:r>
      <w:r w:rsidR="00752A11">
        <w:rPr>
          <w:rFonts w:ascii="Calibri" w:eastAsia="Times New Roman" w:hAnsi="Calibri" w:cs="Calibri"/>
          <w:szCs w:val="24"/>
        </w:rPr>
        <w:t xml:space="preserve">In addition, </w:t>
      </w:r>
      <w:r>
        <w:rPr>
          <w:rFonts w:ascii="Calibri" w:eastAsia="Times New Roman" w:hAnsi="Calibri" w:cs="Calibri"/>
          <w:szCs w:val="24"/>
        </w:rPr>
        <w:t>agency-level turnover rates were highly correlated with substantiated maltreatment recurrence at 3 months (r = .79), 6 months (r = .72) and 12 months (r = .60). However, the authors caution that the</w:t>
      </w:r>
      <w:r w:rsidR="00752A11">
        <w:rPr>
          <w:rFonts w:ascii="Calibri" w:eastAsia="Times New Roman" w:hAnsi="Calibri" w:cs="Calibri"/>
          <w:szCs w:val="24"/>
        </w:rPr>
        <w:t xml:space="preserve"> study was an exploratory and correlational analysis of a complex issue and was based on a small sample of 12 county agencies.</w:t>
      </w:r>
      <w:r w:rsidR="003F04B4" w:rsidRPr="003F04B4">
        <w:rPr>
          <w:rFonts w:ascii="Calibri" w:eastAsia="Times New Roman" w:hAnsi="Calibri" w:cs="Calibri"/>
          <w:szCs w:val="24"/>
          <w:vertAlign w:val="superscript"/>
        </w:rPr>
        <w:footnoteReference w:id="12"/>
      </w:r>
      <w:r w:rsidR="003F04B4" w:rsidRPr="003F04B4">
        <w:rPr>
          <w:rFonts w:ascii="Calibri" w:eastAsia="Times New Roman" w:hAnsi="Calibri" w:cs="Calibri"/>
          <w:szCs w:val="24"/>
          <w:vertAlign w:val="superscript"/>
        </w:rPr>
        <w:t xml:space="preserve">  </w:t>
      </w:r>
      <w:r w:rsidR="00752A11">
        <w:rPr>
          <w:rFonts w:ascii="Calibri" w:eastAsia="Times New Roman" w:hAnsi="Calibri" w:cs="Calibri"/>
          <w:szCs w:val="24"/>
        </w:rPr>
        <w:t>In summary, there is evidence that turnover among child welfare caseworkers is related to agency-level measur</w:t>
      </w:r>
      <w:r w:rsidR="004320E9">
        <w:rPr>
          <w:rFonts w:ascii="Calibri" w:eastAsia="Times New Roman" w:hAnsi="Calibri" w:cs="Calibri"/>
          <w:szCs w:val="24"/>
        </w:rPr>
        <w:t xml:space="preserve">es of compliance or performance; as turnover increases, caseworkers’ abilities to complete required casework practices are diminished. There is little evidence of an impact of turnover on child welfare outcomes, however. </w:t>
      </w:r>
    </w:p>
    <w:p w14:paraId="462A2DAE" w14:textId="77777777" w:rsidR="003F04B4" w:rsidRPr="003F04B4" w:rsidRDefault="003F04B4" w:rsidP="00752A11">
      <w:pPr>
        <w:spacing w:after="0"/>
        <w:rPr>
          <w:rFonts w:ascii="Calibri" w:eastAsia="Times New Roman" w:hAnsi="Calibri" w:cs="Calibri"/>
          <w:szCs w:val="24"/>
        </w:rPr>
      </w:pPr>
    </w:p>
    <w:p w14:paraId="1AFE5303" w14:textId="2D9DE71B" w:rsidR="006B1E95" w:rsidRDefault="003D7107" w:rsidP="00752A11">
      <w:pPr>
        <w:pStyle w:val="Heading2"/>
        <w:spacing w:before="0" w:after="0"/>
        <w:rPr>
          <w:sz w:val="32"/>
          <w:szCs w:val="32"/>
        </w:rPr>
      </w:pPr>
      <w:bookmarkStart w:id="5" w:name="_Toc52403560"/>
      <w:r>
        <w:rPr>
          <w:sz w:val="28"/>
          <w:szCs w:val="28"/>
        </w:rPr>
        <w:t>2.</w:t>
      </w:r>
      <w:r w:rsidR="00FB3062" w:rsidRPr="00AF0A0A">
        <w:rPr>
          <w:sz w:val="28"/>
          <w:szCs w:val="28"/>
        </w:rPr>
        <w:t>3</w:t>
      </w:r>
      <w:r w:rsidR="00FB3062" w:rsidRPr="00AF0A0A">
        <w:rPr>
          <w:sz w:val="28"/>
          <w:szCs w:val="28"/>
        </w:rPr>
        <w:tab/>
      </w:r>
      <w:r w:rsidR="00AF0A0A" w:rsidRPr="00AF0A0A">
        <w:rPr>
          <w:sz w:val="28"/>
          <w:szCs w:val="28"/>
        </w:rPr>
        <w:t>Factors Associated with Turnover and Retention</w:t>
      </w:r>
      <w:bookmarkEnd w:id="5"/>
      <w:r w:rsidR="006B1E95" w:rsidRPr="00CC385E">
        <w:rPr>
          <w:sz w:val="32"/>
          <w:szCs w:val="32"/>
        </w:rPr>
        <w:t xml:space="preserve"> </w:t>
      </w:r>
    </w:p>
    <w:p w14:paraId="78CFC92E" w14:textId="77777777" w:rsidR="00AF0A0A" w:rsidRDefault="00AF0A0A" w:rsidP="00752A11">
      <w:pPr>
        <w:spacing w:after="0"/>
        <w:rPr>
          <w:rFonts w:ascii="Calibri" w:eastAsia="Times New Roman" w:hAnsi="Calibri" w:cs="Calibri"/>
          <w:szCs w:val="24"/>
        </w:rPr>
      </w:pPr>
    </w:p>
    <w:p w14:paraId="3EFCF434" w14:textId="595CB6F1" w:rsidR="00AF0A0A" w:rsidRPr="00AF0A0A" w:rsidRDefault="00375631" w:rsidP="00AF0A0A">
      <w:pPr>
        <w:spacing w:after="0"/>
        <w:rPr>
          <w:rFonts w:ascii="Calibri" w:eastAsia="Times New Roman" w:hAnsi="Calibri" w:cs="Calibri"/>
          <w:szCs w:val="24"/>
        </w:rPr>
      </w:pPr>
      <w:r>
        <w:rPr>
          <w:rFonts w:ascii="Calibri" w:eastAsia="Times New Roman" w:hAnsi="Calibri" w:cs="Calibri"/>
          <w:szCs w:val="24"/>
        </w:rPr>
        <w:t>A</w:t>
      </w:r>
      <w:r w:rsidR="00682AC1">
        <w:rPr>
          <w:rFonts w:ascii="Calibri" w:eastAsia="Times New Roman" w:hAnsi="Calibri" w:cs="Calibri"/>
          <w:szCs w:val="24"/>
        </w:rPr>
        <w:t xml:space="preserve"> significant amount of research has </w:t>
      </w:r>
      <w:r w:rsidR="00AF0A0A" w:rsidRPr="00AF0A0A">
        <w:rPr>
          <w:rFonts w:ascii="Calibri" w:eastAsia="Times New Roman" w:hAnsi="Calibri" w:cs="Calibri"/>
          <w:szCs w:val="24"/>
        </w:rPr>
        <w:t>assess</w:t>
      </w:r>
      <w:r w:rsidR="00682AC1">
        <w:rPr>
          <w:rFonts w:ascii="Calibri" w:eastAsia="Times New Roman" w:hAnsi="Calibri" w:cs="Calibri"/>
          <w:szCs w:val="24"/>
        </w:rPr>
        <w:t>ed</w:t>
      </w:r>
      <w:r w:rsidR="00AF0A0A" w:rsidRPr="00AF0A0A">
        <w:rPr>
          <w:rFonts w:ascii="Calibri" w:eastAsia="Times New Roman" w:hAnsi="Calibri" w:cs="Calibri"/>
          <w:szCs w:val="24"/>
        </w:rPr>
        <w:t xml:space="preserve"> caseworkers’ decisions to leave their agency or the child welfare workforce. A meta-analysis by Kim and Kao systematically reviewed 22 previous studies on </w:t>
      </w:r>
      <w:r w:rsidR="00682AC1">
        <w:rPr>
          <w:rFonts w:ascii="Calibri" w:eastAsia="Times New Roman" w:hAnsi="Calibri" w:cs="Calibri"/>
          <w:szCs w:val="24"/>
        </w:rPr>
        <w:t>child welfare workers’ intentions to leave their current positions (intention to leave often serves as a proxy outcome for turnover in research studies).</w:t>
      </w:r>
      <w:r w:rsidR="00AF0A0A" w:rsidRPr="00AF0A0A">
        <w:rPr>
          <w:rFonts w:ascii="Calibri" w:eastAsia="Times New Roman" w:hAnsi="Calibri" w:cs="Calibri"/>
          <w:szCs w:val="24"/>
          <w:vertAlign w:val="superscript"/>
        </w:rPr>
        <w:footnoteReference w:id="13"/>
      </w:r>
      <w:r w:rsidR="00AF0A0A" w:rsidRPr="00AF0A0A">
        <w:rPr>
          <w:rFonts w:ascii="Calibri" w:eastAsia="Times New Roman" w:hAnsi="Calibri" w:cs="Calibri"/>
          <w:szCs w:val="24"/>
        </w:rPr>
        <w:t xml:space="preserve"> The meta-analysis summarized factors associated with caseworkers’ intention to leave by their level of influence</w:t>
      </w:r>
      <w:r w:rsidR="00AF0A0A" w:rsidRPr="00AF0A0A">
        <w:rPr>
          <w:rFonts w:ascii="Calibri" w:eastAsia="Times New Roman" w:hAnsi="Calibri" w:cs="Calibri"/>
          <w:szCs w:val="24"/>
          <w:vertAlign w:val="superscript"/>
        </w:rPr>
        <w:footnoteReference w:id="14"/>
      </w:r>
      <w:r w:rsidR="00AF0A0A" w:rsidRPr="00AF0A0A">
        <w:rPr>
          <w:rFonts w:ascii="Calibri" w:eastAsia="Times New Roman" w:hAnsi="Calibri" w:cs="Calibri"/>
          <w:szCs w:val="24"/>
        </w:rPr>
        <w:t xml:space="preserve"> on turnover intentions, and grouped the reasons into four categories: demographic, work-related, work environment, and attitudes and perceptions (see Table 1). The study found that the attitudes and perceptions of child welfare workers such as job satisfaction and organizational commitment, and work-related factors such as stress and emotional exhaustion had high influence on turnover intention among child welfare workers. Work environment indicators such as different types of support (e.g., organizational, supervisor, co-worker, and spousal) had varying influence on turnover intention. Demographic predictors (e.g., race and gender) had relatively low effects on turnover intention. In th</w:t>
      </w:r>
      <w:r w:rsidR="00874450">
        <w:rPr>
          <w:rFonts w:ascii="Calibri" w:eastAsia="Times New Roman" w:hAnsi="Calibri" w:cs="Calibri"/>
          <w:szCs w:val="24"/>
        </w:rPr>
        <w:t xml:space="preserve">e following </w:t>
      </w:r>
      <w:r w:rsidR="00AF0A0A" w:rsidRPr="00AF0A0A">
        <w:rPr>
          <w:rFonts w:ascii="Calibri" w:eastAsia="Times New Roman" w:hAnsi="Calibri" w:cs="Calibri"/>
          <w:szCs w:val="24"/>
        </w:rPr>
        <w:t>section</w:t>
      </w:r>
      <w:r w:rsidR="00874450">
        <w:rPr>
          <w:rFonts w:ascii="Calibri" w:eastAsia="Times New Roman" w:hAnsi="Calibri" w:cs="Calibri"/>
          <w:szCs w:val="24"/>
        </w:rPr>
        <w:t>s</w:t>
      </w:r>
      <w:r w:rsidR="00AF0A0A" w:rsidRPr="00AF0A0A">
        <w:rPr>
          <w:rFonts w:ascii="Calibri" w:eastAsia="Times New Roman" w:hAnsi="Calibri" w:cs="Calibri"/>
          <w:szCs w:val="24"/>
        </w:rPr>
        <w:t xml:space="preserve">, we </w:t>
      </w:r>
      <w:r w:rsidR="00874450">
        <w:rPr>
          <w:rFonts w:ascii="Calibri" w:eastAsia="Times New Roman" w:hAnsi="Calibri" w:cs="Calibri"/>
          <w:szCs w:val="24"/>
        </w:rPr>
        <w:t xml:space="preserve">examine the research linking </w:t>
      </w:r>
      <w:r w:rsidR="00AF0A0A" w:rsidRPr="00AF0A0A">
        <w:rPr>
          <w:rFonts w:ascii="Calibri" w:eastAsia="Times New Roman" w:hAnsi="Calibri" w:cs="Calibri"/>
          <w:szCs w:val="24"/>
        </w:rPr>
        <w:t>several of the</w:t>
      </w:r>
      <w:r w:rsidR="00874450">
        <w:rPr>
          <w:rFonts w:ascii="Calibri" w:eastAsia="Times New Roman" w:hAnsi="Calibri" w:cs="Calibri"/>
          <w:szCs w:val="24"/>
        </w:rPr>
        <w:t>se factors to child welfare worker turnover</w:t>
      </w:r>
      <w:r w:rsidR="00AF0A0A" w:rsidRPr="00AF0A0A">
        <w:rPr>
          <w:rFonts w:ascii="Calibri" w:eastAsia="Times New Roman" w:hAnsi="Calibri" w:cs="Calibri"/>
          <w:szCs w:val="24"/>
        </w:rPr>
        <w:t xml:space="preserve">. </w:t>
      </w:r>
    </w:p>
    <w:p w14:paraId="0931346E" w14:textId="77777777" w:rsidR="00AF0A0A" w:rsidRPr="00AF0A0A" w:rsidRDefault="00AF0A0A" w:rsidP="00AF0A0A">
      <w:pPr>
        <w:spacing w:after="0"/>
        <w:rPr>
          <w:rFonts w:ascii="Calibri" w:eastAsia="Times New Roman" w:hAnsi="Calibri" w:cs="Calibri"/>
          <w:szCs w:val="24"/>
        </w:rPr>
      </w:pPr>
    </w:p>
    <w:p w14:paraId="3FB502A7" w14:textId="20CDB494" w:rsidR="00AF0A0A" w:rsidRPr="00AF0A0A" w:rsidRDefault="00AF0A0A" w:rsidP="00AF0A0A">
      <w:pPr>
        <w:spacing w:after="0"/>
        <w:rPr>
          <w:rFonts w:ascii="Calibri" w:eastAsia="Times New Roman" w:hAnsi="Calibri" w:cs="Calibri"/>
          <w:szCs w:val="24"/>
        </w:rPr>
      </w:pPr>
      <w:r w:rsidRPr="00AF0A0A">
        <w:rPr>
          <w:rFonts w:ascii="Calibri" w:eastAsia="Times New Roman" w:hAnsi="Calibri" w:cs="Calibri"/>
          <w:b/>
          <w:bCs/>
          <w:szCs w:val="24"/>
        </w:rPr>
        <w:t>Table 1. Turnover Predictors Among Child Welfare Workers</w:t>
      </w:r>
    </w:p>
    <w:tbl>
      <w:tblPr>
        <w:tblStyle w:val="GridTable4-Accent1"/>
        <w:tblW w:w="5000" w:type="pct"/>
        <w:tblLook w:val="0420" w:firstRow="1" w:lastRow="0" w:firstColumn="0" w:lastColumn="0" w:noHBand="0" w:noVBand="1"/>
      </w:tblPr>
      <w:tblGrid>
        <w:gridCol w:w="1829"/>
        <w:gridCol w:w="1833"/>
        <w:gridCol w:w="2021"/>
        <w:gridCol w:w="1835"/>
        <w:gridCol w:w="1832"/>
      </w:tblGrid>
      <w:tr w:rsidR="00AF0A0A" w:rsidRPr="00AF0A0A" w14:paraId="2B57AB75" w14:textId="77777777" w:rsidTr="00554568">
        <w:trPr>
          <w:cnfStyle w:val="100000000000" w:firstRow="1" w:lastRow="0" w:firstColumn="0" w:lastColumn="0" w:oddVBand="0" w:evenVBand="0" w:oddHBand="0" w:evenHBand="0" w:firstRowFirstColumn="0" w:firstRowLastColumn="0" w:lastRowFirstColumn="0" w:lastRowLastColumn="0"/>
          <w:trHeight w:val="584"/>
        </w:trPr>
        <w:tc>
          <w:tcPr>
            <w:tcW w:w="998" w:type="pct"/>
            <w:hideMark/>
          </w:tcPr>
          <w:p w14:paraId="1E339E55" w14:textId="77777777" w:rsidR="00AF0A0A" w:rsidRPr="00AF0A0A" w:rsidRDefault="00AF0A0A" w:rsidP="00AF0A0A">
            <w:pPr>
              <w:rPr>
                <w:rFonts w:ascii="Calibri" w:eastAsia="Times New Roman" w:hAnsi="Calibri" w:cs="Calibri"/>
                <w:szCs w:val="24"/>
              </w:rPr>
            </w:pPr>
          </w:p>
        </w:tc>
        <w:tc>
          <w:tcPr>
            <w:tcW w:w="1000" w:type="pct"/>
            <w:hideMark/>
          </w:tcPr>
          <w:p w14:paraId="3D4DD84E"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Demographic</w:t>
            </w:r>
          </w:p>
        </w:tc>
        <w:tc>
          <w:tcPr>
            <w:tcW w:w="1002" w:type="pct"/>
            <w:hideMark/>
          </w:tcPr>
          <w:p w14:paraId="6E6FEF5E"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Work-related</w:t>
            </w:r>
          </w:p>
        </w:tc>
        <w:tc>
          <w:tcPr>
            <w:tcW w:w="1001" w:type="pct"/>
            <w:hideMark/>
          </w:tcPr>
          <w:p w14:paraId="573ECA7B"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Work environment</w:t>
            </w:r>
          </w:p>
        </w:tc>
        <w:tc>
          <w:tcPr>
            <w:tcW w:w="1000" w:type="pct"/>
            <w:hideMark/>
          </w:tcPr>
          <w:p w14:paraId="1EEAA8BA"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Attitudes and perceptions </w:t>
            </w:r>
          </w:p>
        </w:tc>
      </w:tr>
      <w:tr w:rsidR="00AF0A0A" w:rsidRPr="00AF0A0A" w14:paraId="7D574E51" w14:textId="77777777" w:rsidTr="00554568">
        <w:trPr>
          <w:cnfStyle w:val="000000100000" w:firstRow="0" w:lastRow="0" w:firstColumn="0" w:lastColumn="0" w:oddVBand="0" w:evenVBand="0" w:oddHBand="1" w:evenHBand="0" w:firstRowFirstColumn="0" w:firstRowLastColumn="0" w:lastRowFirstColumn="0" w:lastRowLastColumn="0"/>
          <w:trHeight w:val="584"/>
        </w:trPr>
        <w:tc>
          <w:tcPr>
            <w:tcW w:w="998" w:type="pct"/>
            <w:hideMark/>
          </w:tcPr>
          <w:p w14:paraId="5D5970B5"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Low effect </w:t>
            </w:r>
          </w:p>
        </w:tc>
        <w:tc>
          <w:tcPr>
            <w:tcW w:w="1000" w:type="pct"/>
            <w:hideMark/>
          </w:tcPr>
          <w:p w14:paraId="4B45BB5A"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Race, gender, social work degree, other degrees </w:t>
            </w:r>
          </w:p>
        </w:tc>
        <w:tc>
          <w:tcPr>
            <w:tcW w:w="1002" w:type="pct"/>
            <w:hideMark/>
          </w:tcPr>
          <w:p w14:paraId="4D313F3D"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Caseload</w:t>
            </w:r>
          </w:p>
        </w:tc>
        <w:tc>
          <w:tcPr>
            <w:tcW w:w="1001" w:type="pct"/>
            <w:hideMark/>
          </w:tcPr>
          <w:p w14:paraId="7553F54D"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Spouse/other support </w:t>
            </w:r>
          </w:p>
        </w:tc>
        <w:tc>
          <w:tcPr>
            <w:tcW w:w="1000" w:type="pct"/>
            <w:hideMark/>
          </w:tcPr>
          <w:p w14:paraId="30F68BA0" w14:textId="77777777" w:rsidR="00AF0A0A" w:rsidRPr="00AF0A0A" w:rsidRDefault="00AF0A0A" w:rsidP="00AF0A0A">
            <w:pPr>
              <w:rPr>
                <w:rFonts w:ascii="Calibri" w:eastAsia="Times New Roman" w:hAnsi="Calibri" w:cs="Calibri"/>
                <w:szCs w:val="24"/>
              </w:rPr>
            </w:pPr>
          </w:p>
        </w:tc>
      </w:tr>
      <w:tr w:rsidR="00AF0A0A" w:rsidRPr="00AF0A0A" w14:paraId="7C0F48C9" w14:textId="77777777" w:rsidTr="00554568">
        <w:trPr>
          <w:trHeight w:val="584"/>
        </w:trPr>
        <w:tc>
          <w:tcPr>
            <w:tcW w:w="998" w:type="pct"/>
            <w:hideMark/>
          </w:tcPr>
          <w:p w14:paraId="1964676C"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Moderate effect </w:t>
            </w:r>
          </w:p>
        </w:tc>
        <w:tc>
          <w:tcPr>
            <w:tcW w:w="1000" w:type="pct"/>
            <w:hideMark/>
          </w:tcPr>
          <w:p w14:paraId="3BE06696"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Age, tenure, education level</w:t>
            </w:r>
          </w:p>
        </w:tc>
        <w:tc>
          <w:tcPr>
            <w:tcW w:w="1002" w:type="pct"/>
            <w:hideMark/>
          </w:tcPr>
          <w:p w14:paraId="2ACC65DB"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Job demand, coping, autonomy</w:t>
            </w:r>
          </w:p>
        </w:tc>
        <w:tc>
          <w:tcPr>
            <w:tcW w:w="1001" w:type="pct"/>
            <w:hideMark/>
          </w:tcPr>
          <w:p w14:paraId="7E6C4278"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Financial reward, coworker support, professionalism, salary </w:t>
            </w:r>
          </w:p>
        </w:tc>
        <w:tc>
          <w:tcPr>
            <w:tcW w:w="1000" w:type="pct"/>
            <w:hideMark/>
          </w:tcPr>
          <w:p w14:paraId="1A3EF37A"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Career development, work self-efficacy </w:t>
            </w:r>
          </w:p>
        </w:tc>
      </w:tr>
      <w:tr w:rsidR="00AF0A0A" w:rsidRPr="00AF0A0A" w14:paraId="7A9C5976" w14:textId="77777777" w:rsidTr="00554568">
        <w:trPr>
          <w:cnfStyle w:val="000000100000" w:firstRow="0" w:lastRow="0" w:firstColumn="0" w:lastColumn="0" w:oddVBand="0" w:evenVBand="0" w:oddHBand="1" w:evenHBand="0" w:firstRowFirstColumn="0" w:firstRowLastColumn="0" w:lastRowFirstColumn="0" w:lastRowLastColumn="0"/>
          <w:trHeight w:val="584"/>
        </w:trPr>
        <w:tc>
          <w:tcPr>
            <w:tcW w:w="998" w:type="pct"/>
            <w:hideMark/>
          </w:tcPr>
          <w:p w14:paraId="7168536F"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Medium effect </w:t>
            </w:r>
          </w:p>
        </w:tc>
        <w:tc>
          <w:tcPr>
            <w:tcW w:w="1000" w:type="pct"/>
            <w:hideMark/>
          </w:tcPr>
          <w:p w14:paraId="4A55B273"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Well-being</w:t>
            </w:r>
          </w:p>
        </w:tc>
        <w:tc>
          <w:tcPr>
            <w:tcW w:w="1002" w:type="pct"/>
            <w:hideMark/>
          </w:tcPr>
          <w:p w14:paraId="54ABB99F"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Safety concern, depersonalization, role conflict, inclusion, role ambiguity </w:t>
            </w:r>
          </w:p>
        </w:tc>
        <w:tc>
          <w:tcPr>
            <w:tcW w:w="1001" w:type="pct"/>
            <w:hideMark/>
          </w:tcPr>
          <w:p w14:paraId="5AFCEC6A"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Organizational support, perceptions of fairness, organizational culture, policy, supervisor support </w:t>
            </w:r>
          </w:p>
        </w:tc>
        <w:tc>
          <w:tcPr>
            <w:tcW w:w="1000" w:type="pct"/>
            <w:hideMark/>
          </w:tcPr>
          <w:p w14:paraId="34068EAD"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Professional commitment, organizational climate, human caring </w:t>
            </w:r>
          </w:p>
        </w:tc>
      </w:tr>
      <w:tr w:rsidR="00AF0A0A" w:rsidRPr="00AF0A0A" w14:paraId="71FE8607" w14:textId="77777777" w:rsidTr="00554568">
        <w:trPr>
          <w:trHeight w:val="584"/>
        </w:trPr>
        <w:tc>
          <w:tcPr>
            <w:tcW w:w="998" w:type="pct"/>
            <w:hideMark/>
          </w:tcPr>
          <w:p w14:paraId="5B21032B"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High effect </w:t>
            </w:r>
          </w:p>
        </w:tc>
        <w:tc>
          <w:tcPr>
            <w:tcW w:w="1000" w:type="pct"/>
            <w:hideMark/>
          </w:tcPr>
          <w:p w14:paraId="1C8379D7" w14:textId="77777777" w:rsidR="00AF0A0A" w:rsidRPr="00AF0A0A" w:rsidRDefault="00AF0A0A" w:rsidP="00AF0A0A">
            <w:pPr>
              <w:rPr>
                <w:rFonts w:ascii="Calibri" w:eastAsia="Times New Roman" w:hAnsi="Calibri" w:cs="Calibri"/>
                <w:szCs w:val="24"/>
              </w:rPr>
            </w:pPr>
          </w:p>
        </w:tc>
        <w:tc>
          <w:tcPr>
            <w:tcW w:w="1002" w:type="pct"/>
            <w:hideMark/>
          </w:tcPr>
          <w:p w14:paraId="7AE5F230"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Stress, emotional exhaustion</w:t>
            </w:r>
          </w:p>
        </w:tc>
        <w:tc>
          <w:tcPr>
            <w:tcW w:w="1001" w:type="pct"/>
            <w:hideMark/>
          </w:tcPr>
          <w:p w14:paraId="62890768" w14:textId="77777777" w:rsidR="00AF0A0A" w:rsidRPr="00AF0A0A" w:rsidRDefault="00AF0A0A" w:rsidP="00AF0A0A">
            <w:pPr>
              <w:rPr>
                <w:rFonts w:ascii="Calibri" w:eastAsia="Times New Roman" w:hAnsi="Calibri" w:cs="Calibri"/>
                <w:szCs w:val="24"/>
              </w:rPr>
            </w:pPr>
          </w:p>
        </w:tc>
        <w:tc>
          <w:tcPr>
            <w:tcW w:w="1000" w:type="pct"/>
            <w:hideMark/>
          </w:tcPr>
          <w:p w14:paraId="3DEE173E" w14:textId="77777777" w:rsidR="00AF0A0A" w:rsidRPr="00AF0A0A" w:rsidRDefault="00AF0A0A" w:rsidP="00AF0A0A">
            <w:pPr>
              <w:rPr>
                <w:rFonts w:ascii="Calibri" w:eastAsia="Times New Roman" w:hAnsi="Calibri" w:cs="Calibri"/>
                <w:szCs w:val="24"/>
              </w:rPr>
            </w:pPr>
            <w:r w:rsidRPr="00AF0A0A">
              <w:rPr>
                <w:rFonts w:ascii="Calibri" w:eastAsia="Times New Roman" w:hAnsi="Calibri" w:cs="Calibri"/>
                <w:szCs w:val="24"/>
              </w:rPr>
              <w:t xml:space="preserve">Job satisfaction, organizational commitment </w:t>
            </w:r>
          </w:p>
        </w:tc>
      </w:tr>
    </w:tbl>
    <w:p w14:paraId="4C68B8F2" w14:textId="77777777" w:rsidR="00AF0A0A" w:rsidRPr="00AF0A0A" w:rsidRDefault="00AF0A0A" w:rsidP="00AF0A0A">
      <w:pPr>
        <w:spacing w:after="0"/>
        <w:rPr>
          <w:rFonts w:ascii="Calibri" w:eastAsia="Times New Roman" w:hAnsi="Calibri" w:cs="Calibri"/>
          <w:szCs w:val="24"/>
        </w:rPr>
      </w:pPr>
    </w:p>
    <w:p w14:paraId="491E1053" w14:textId="12829BC1" w:rsidR="006B1E95" w:rsidRDefault="003D7107" w:rsidP="00A6025D">
      <w:pPr>
        <w:pStyle w:val="Heading3"/>
        <w:spacing w:before="0" w:after="0" w:line="360" w:lineRule="auto"/>
      </w:pPr>
      <w:bookmarkStart w:id="6" w:name="_Toc52403561"/>
      <w:r>
        <w:t>2.</w:t>
      </w:r>
      <w:r w:rsidR="00F626FA">
        <w:t>3.1</w:t>
      </w:r>
      <w:r w:rsidR="00F626FA">
        <w:tab/>
      </w:r>
      <w:r w:rsidR="003D7421">
        <w:t>Caseload</w:t>
      </w:r>
      <w:bookmarkEnd w:id="6"/>
      <w:r w:rsidR="003D7421">
        <w:t xml:space="preserve"> </w:t>
      </w:r>
    </w:p>
    <w:p w14:paraId="01443649" w14:textId="77777777" w:rsidR="00F50A2C" w:rsidRDefault="00072CAF" w:rsidP="00BC0579">
      <w:pPr>
        <w:spacing w:after="0"/>
        <w:rPr>
          <w:rFonts w:ascii="Calibri" w:eastAsia="Times New Roman" w:hAnsi="Calibri" w:cs="Calibri"/>
          <w:szCs w:val="24"/>
        </w:rPr>
      </w:pPr>
      <w:r>
        <w:rPr>
          <w:rFonts w:ascii="Calibri" w:eastAsia="Times New Roman" w:hAnsi="Calibri" w:cs="Calibri"/>
          <w:szCs w:val="24"/>
        </w:rPr>
        <w:t>In an effort to promote best practice in child welfare, several organizations have developed caseload standards for child welfare agencies</w:t>
      </w:r>
      <w:r w:rsidR="00BC0579">
        <w:rPr>
          <w:rFonts w:ascii="Calibri" w:eastAsia="Times New Roman" w:hAnsi="Calibri" w:cs="Calibri"/>
          <w:szCs w:val="24"/>
        </w:rPr>
        <w:t>, including the Child Welfare League of America (CWLA)</w:t>
      </w:r>
      <w:r w:rsidR="0063690C">
        <w:rPr>
          <w:rStyle w:val="FootnoteReference"/>
          <w:rFonts w:ascii="Calibri" w:eastAsia="Times New Roman" w:hAnsi="Calibri" w:cs="Calibri"/>
          <w:szCs w:val="24"/>
        </w:rPr>
        <w:footnoteReference w:id="15"/>
      </w:r>
      <w:r w:rsidR="00BC0579">
        <w:rPr>
          <w:rFonts w:ascii="Calibri" w:eastAsia="Times New Roman" w:hAnsi="Calibri" w:cs="Calibri"/>
          <w:szCs w:val="24"/>
        </w:rPr>
        <w:t xml:space="preserve"> and the Council on Accreditation (COA).</w:t>
      </w:r>
      <w:r w:rsidR="00F52AE1">
        <w:rPr>
          <w:rStyle w:val="FootnoteReference"/>
          <w:rFonts w:ascii="Calibri" w:eastAsia="Times New Roman" w:hAnsi="Calibri" w:cs="Calibri"/>
          <w:szCs w:val="24"/>
        </w:rPr>
        <w:footnoteReference w:id="16"/>
      </w:r>
      <w:r w:rsidR="00BC0579">
        <w:rPr>
          <w:rFonts w:ascii="Calibri" w:eastAsia="Times New Roman" w:hAnsi="Calibri" w:cs="Calibri"/>
          <w:szCs w:val="24"/>
        </w:rPr>
        <w:t xml:space="preserve"> </w:t>
      </w:r>
      <w:r w:rsidR="00F50A2C">
        <w:rPr>
          <w:rFonts w:ascii="Calibri" w:eastAsia="Times New Roman" w:hAnsi="Calibri" w:cs="Calibri"/>
          <w:szCs w:val="24"/>
        </w:rPr>
        <w:t xml:space="preserve">Table 2 shows the </w:t>
      </w:r>
      <w:r w:rsidR="00BC0579">
        <w:rPr>
          <w:rFonts w:ascii="Calibri" w:eastAsia="Times New Roman" w:hAnsi="Calibri" w:cs="Calibri"/>
          <w:szCs w:val="24"/>
        </w:rPr>
        <w:t>suggest</w:t>
      </w:r>
      <w:r w:rsidR="00F50A2C">
        <w:rPr>
          <w:rFonts w:ascii="Calibri" w:eastAsia="Times New Roman" w:hAnsi="Calibri" w:cs="Calibri"/>
          <w:szCs w:val="24"/>
        </w:rPr>
        <w:t>ed maximum c</w:t>
      </w:r>
      <w:r w:rsidR="00BC0579">
        <w:rPr>
          <w:rFonts w:ascii="Calibri" w:eastAsia="Times New Roman" w:hAnsi="Calibri" w:cs="Calibri"/>
          <w:szCs w:val="24"/>
        </w:rPr>
        <w:t>aseloads for different types of child welfare wor</w:t>
      </w:r>
      <w:r w:rsidR="00F50A2C">
        <w:rPr>
          <w:rFonts w:ascii="Calibri" w:eastAsia="Times New Roman" w:hAnsi="Calibri" w:cs="Calibri"/>
          <w:szCs w:val="24"/>
        </w:rPr>
        <w:t xml:space="preserve">kers. </w:t>
      </w:r>
    </w:p>
    <w:p w14:paraId="6EEF1095" w14:textId="74E33E2E" w:rsidR="00F50A2C" w:rsidRDefault="00F50A2C" w:rsidP="00BC0579">
      <w:pPr>
        <w:spacing w:after="0"/>
        <w:rPr>
          <w:rFonts w:ascii="Calibri" w:eastAsia="Times New Roman" w:hAnsi="Calibri" w:cs="Calibri"/>
          <w:szCs w:val="24"/>
        </w:rPr>
      </w:pPr>
    </w:p>
    <w:p w14:paraId="4CD5740E" w14:textId="382FEDD1" w:rsidR="002E7170" w:rsidRPr="00934DE8" w:rsidRDefault="002E7170" w:rsidP="00BC0579">
      <w:pPr>
        <w:spacing w:after="0"/>
        <w:rPr>
          <w:rFonts w:ascii="Calibri" w:eastAsia="Times New Roman" w:hAnsi="Calibri" w:cs="Calibri"/>
          <w:b/>
          <w:szCs w:val="24"/>
        </w:rPr>
      </w:pPr>
      <w:r w:rsidRPr="00934DE8">
        <w:rPr>
          <w:rFonts w:ascii="Calibri" w:eastAsia="Times New Roman" w:hAnsi="Calibri" w:cs="Calibri"/>
          <w:b/>
          <w:szCs w:val="24"/>
        </w:rPr>
        <w:t>Table 2.  Child Welfare Caseload Standards</w:t>
      </w:r>
    </w:p>
    <w:tbl>
      <w:tblPr>
        <w:tblStyle w:val="GridTable4-Accent1"/>
        <w:tblW w:w="0" w:type="auto"/>
        <w:tblLook w:val="04A0" w:firstRow="1" w:lastRow="0" w:firstColumn="1" w:lastColumn="0" w:noHBand="0" w:noVBand="1"/>
      </w:tblPr>
      <w:tblGrid>
        <w:gridCol w:w="3116"/>
        <w:gridCol w:w="3117"/>
        <w:gridCol w:w="3117"/>
      </w:tblGrid>
      <w:tr w:rsidR="002E7170" w14:paraId="2C2F5450" w14:textId="77777777" w:rsidTr="00554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CE4C28F" w14:textId="3CDB2DB1" w:rsidR="002E7170" w:rsidRDefault="002E7170" w:rsidP="00BC0579">
            <w:pPr>
              <w:rPr>
                <w:rFonts w:ascii="Calibri" w:eastAsia="Times New Roman" w:hAnsi="Calibri" w:cs="Calibri"/>
                <w:szCs w:val="24"/>
              </w:rPr>
            </w:pPr>
            <w:r>
              <w:rPr>
                <w:rFonts w:ascii="Calibri" w:eastAsia="Times New Roman" w:hAnsi="Calibri" w:cs="Calibri"/>
                <w:szCs w:val="24"/>
              </w:rPr>
              <w:t>Worker Type</w:t>
            </w:r>
          </w:p>
        </w:tc>
        <w:tc>
          <w:tcPr>
            <w:tcW w:w="3117" w:type="dxa"/>
          </w:tcPr>
          <w:p w14:paraId="7F08BDE3" w14:textId="7975DEB0" w:rsidR="002E7170" w:rsidRDefault="002E7170" w:rsidP="00BC057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rPr>
            </w:pPr>
            <w:r>
              <w:rPr>
                <w:rFonts w:ascii="Calibri" w:eastAsia="Times New Roman" w:hAnsi="Calibri" w:cs="Calibri"/>
                <w:szCs w:val="24"/>
              </w:rPr>
              <w:t>CWLA</w:t>
            </w:r>
          </w:p>
        </w:tc>
        <w:tc>
          <w:tcPr>
            <w:tcW w:w="3117" w:type="dxa"/>
          </w:tcPr>
          <w:p w14:paraId="0D69BAC8" w14:textId="10B6E04F" w:rsidR="002E7170" w:rsidRDefault="002E7170" w:rsidP="00BC057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Cs w:val="24"/>
              </w:rPr>
            </w:pPr>
            <w:r>
              <w:rPr>
                <w:rFonts w:ascii="Calibri" w:eastAsia="Times New Roman" w:hAnsi="Calibri" w:cs="Calibri"/>
                <w:szCs w:val="24"/>
              </w:rPr>
              <w:t>COA</w:t>
            </w:r>
          </w:p>
        </w:tc>
      </w:tr>
      <w:tr w:rsidR="002E7170" w14:paraId="641EBBAD" w14:textId="77777777" w:rsidTr="00554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EC249BF" w14:textId="6FC4CCE8" w:rsidR="002E7170" w:rsidRDefault="0056304F" w:rsidP="00BC0579">
            <w:pPr>
              <w:rPr>
                <w:rFonts w:ascii="Calibri" w:eastAsia="Times New Roman" w:hAnsi="Calibri" w:cs="Calibri"/>
                <w:szCs w:val="24"/>
              </w:rPr>
            </w:pPr>
            <w:r>
              <w:rPr>
                <w:rFonts w:ascii="Calibri" w:eastAsia="Times New Roman" w:hAnsi="Calibri" w:cs="Calibri"/>
                <w:szCs w:val="24"/>
              </w:rPr>
              <w:t>Child Protective Services Investigator</w:t>
            </w:r>
          </w:p>
        </w:tc>
        <w:tc>
          <w:tcPr>
            <w:tcW w:w="3117" w:type="dxa"/>
          </w:tcPr>
          <w:p w14:paraId="6E93DF34" w14:textId="07831F2F" w:rsidR="002E7170" w:rsidRDefault="0056304F" w:rsidP="00BC05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rPr>
            </w:pPr>
            <w:r>
              <w:rPr>
                <w:rFonts w:ascii="Calibri" w:eastAsia="Times New Roman" w:hAnsi="Calibri" w:cs="Calibri"/>
                <w:szCs w:val="24"/>
              </w:rPr>
              <w:t>12 active cases per month</w:t>
            </w:r>
          </w:p>
        </w:tc>
        <w:tc>
          <w:tcPr>
            <w:tcW w:w="3117" w:type="dxa"/>
          </w:tcPr>
          <w:p w14:paraId="39E6BE49" w14:textId="0C4442C1" w:rsidR="002E7170" w:rsidRDefault="0056304F" w:rsidP="00BC05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rPr>
            </w:pPr>
            <w:r>
              <w:rPr>
                <w:rFonts w:ascii="Calibri" w:eastAsia="Times New Roman" w:hAnsi="Calibri" w:cs="Calibri"/>
                <w:szCs w:val="24"/>
              </w:rPr>
              <w:t xml:space="preserve">Should not exceed 15 investigations </w:t>
            </w:r>
          </w:p>
        </w:tc>
      </w:tr>
      <w:tr w:rsidR="002E7170" w14:paraId="77693BF6" w14:textId="77777777" w:rsidTr="00554568">
        <w:tc>
          <w:tcPr>
            <w:cnfStyle w:val="001000000000" w:firstRow="0" w:lastRow="0" w:firstColumn="1" w:lastColumn="0" w:oddVBand="0" w:evenVBand="0" w:oddHBand="0" w:evenHBand="0" w:firstRowFirstColumn="0" w:firstRowLastColumn="0" w:lastRowFirstColumn="0" w:lastRowLastColumn="0"/>
            <w:tcW w:w="3116" w:type="dxa"/>
          </w:tcPr>
          <w:p w14:paraId="0A12CECB" w14:textId="100DA77F" w:rsidR="002E7170" w:rsidRDefault="00326009" w:rsidP="00BC0579">
            <w:pPr>
              <w:rPr>
                <w:rFonts w:ascii="Calibri" w:eastAsia="Times New Roman" w:hAnsi="Calibri" w:cs="Calibri"/>
                <w:szCs w:val="24"/>
              </w:rPr>
            </w:pPr>
            <w:r>
              <w:rPr>
                <w:rFonts w:ascii="Calibri" w:eastAsia="Times New Roman" w:hAnsi="Calibri" w:cs="Calibri"/>
                <w:szCs w:val="24"/>
              </w:rPr>
              <w:t>Family-centered casework (also called family preservation services)</w:t>
            </w:r>
          </w:p>
        </w:tc>
        <w:tc>
          <w:tcPr>
            <w:tcW w:w="3117" w:type="dxa"/>
          </w:tcPr>
          <w:p w14:paraId="0E93E74A" w14:textId="7C62AFDE" w:rsidR="002E7170" w:rsidRDefault="00326009" w:rsidP="00BC05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rPr>
            </w:pPr>
            <w:r>
              <w:rPr>
                <w:rFonts w:ascii="Calibri" w:eastAsia="Times New Roman" w:hAnsi="Calibri" w:cs="Calibri"/>
                <w:szCs w:val="24"/>
              </w:rPr>
              <w:t>No more than 12 cases per worker</w:t>
            </w:r>
            <w:r w:rsidR="00736B16">
              <w:rPr>
                <w:rFonts w:ascii="Calibri" w:eastAsia="Times New Roman" w:hAnsi="Calibri" w:cs="Calibri"/>
                <w:szCs w:val="24"/>
              </w:rPr>
              <w:t xml:space="preserve"> (2-4 families per worker for intensive family preservation services)</w:t>
            </w:r>
          </w:p>
        </w:tc>
        <w:tc>
          <w:tcPr>
            <w:tcW w:w="3117" w:type="dxa"/>
          </w:tcPr>
          <w:p w14:paraId="5B1CB56F" w14:textId="3F2978B4" w:rsidR="002E7170" w:rsidRDefault="00326009" w:rsidP="00BC05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Cs w:val="24"/>
              </w:rPr>
            </w:pPr>
            <w:r>
              <w:rPr>
                <w:rFonts w:ascii="Calibri" w:eastAsia="Times New Roman" w:hAnsi="Calibri" w:cs="Calibri"/>
                <w:szCs w:val="24"/>
              </w:rPr>
              <w:t>Should not exceed 12-18 families in programs providing family preservation services and 2-6 families in programs providing intensive family preservation services</w:t>
            </w:r>
          </w:p>
        </w:tc>
      </w:tr>
      <w:tr w:rsidR="002E7170" w14:paraId="119A81DE" w14:textId="77777777" w:rsidTr="00554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B2E4800" w14:textId="2BC19A1E" w:rsidR="002E7170" w:rsidRDefault="0014577C" w:rsidP="00BC0579">
            <w:pPr>
              <w:rPr>
                <w:rFonts w:ascii="Calibri" w:eastAsia="Times New Roman" w:hAnsi="Calibri" w:cs="Calibri"/>
                <w:szCs w:val="24"/>
              </w:rPr>
            </w:pPr>
            <w:r>
              <w:rPr>
                <w:rFonts w:ascii="Calibri" w:eastAsia="Times New Roman" w:hAnsi="Calibri" w:cs="Calibri"/>
                <w:szCs w:val="24"/>
              </w:rPr>
              <w:t>Foster care placement services</w:t>
            </w:r>
          </w:p>
        </w:tc>
        <w:tc>
          <w:tcPr>
            <w:tcW w:w="3117" w:type="dxa"/>
          </w:tcPr>
          <w:p w14:paraId="598CF6C0" w14:textId="45949EEE" w:rsidR="002E7170" w:rsidRDefault="0014577C" w:rsidP="00BC05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rPr>
            </w:pPr>
            <w:r>
              <w:rPr>
                <w:rFonts w:ascii="Calibri" w:eastAsia="Times New Roman" w:hAnsi="Calibri" w:cs="Calibri"/>
                <w:szCs w:val="24"/>
              </w:rPr>
              <w:t xml:space="preserve">12-15 children </w:t>
            </w:r>
          </w:p>
        </w:tc>
        <w:tc>
          <w:tcPr>
            <w:tcW w:w="3117" w:type="dxa"/>
          </w:tcPr>
          <w:p w14:paraId="0FE2F9EC" w14:textId="409DD900" w:rsidR="002E7170" w:rsidRDefault="0014577C" w:rsidP="00BC05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4"/>
              </w:rPr>
            </w:pPr>
            <w:r>
              <w:rPr>
                <w:rFonts w:ascii="Calibri" w:eastAsia="Times New Roman" w:hAnsi="Calibri" w:cs="Calibri"/>
                <w:szCs w:val="24"/>
              </w:rPr>
              <w:t>Should not exceed 15 children; no more than 8 children for treatment foster care services</w:t>
            </w:r>
          </w:p>
        </w:tc>
      </w:tr>
    </w:tbl>
    <w:p w14:paraId="40FE5EA1" w14:textId="4E56B1C7" w:rsidR="00BC0579" w:rsidRPr="00BC0579" w:rsidRDefault="00BC0579" w:rsidP="00BC0579">
      <w:pPr>
        <w:spacing w:after="0"/>
        <w:rPr>
          <w:rFonts w:ascii="Calibri" w:eastAsia="Times New Roman" w:hAnsi="Calibri" w:cs="Calibri"/>
          <w:szCs w:val="24"/>
        </w:rPr>
      </w:pPr>
      <w:r w:rsidRPr="00BC0579">
        <w:rPr>
          <w:rFonts w:ascii="Calibri" w:eastAsia="Times New Roman" w:hAnsi="Calibri" w:cs="Calibri"/>
          <w:szCs w:val="24"/>
        </w:rPr>
        <w:t xml:space="preserve"> </w:t>
      </w:r>
    </w:p>
    <w:p w14:paraId="0D5D38DF" w14:textId="77777777" w:rsidR="00554568" w:rsidRDefault="00554568">
      <w:pPr>
        <w:rPr>
          <w:rFonts w:ascii="Calibri" w:eastAsia="Times New Roman" w:hAnsi="Calibri" w:cs="Calibri"/>
          <w:szCs w:val="24"/>
        </w:rPr>
      </w:pPr>
      <w:r>
        <w:rPr>
          <w:rFonts w:ascii="Calibri" w:eastAsia="Times New Roman" w:hAnsi="Calibri" w:cs="Calibri"/>
          <w:szCs w:val="24"/>
        </w:rPr>
        <w:br w:type="page"/>
      </w:r>
    </w:p>
    <w:p w14:paraId="3F4F14CA" w14:textId="12BD9080" w:rsidR="00BC0579" w:rsidRDefault="00F7511E" w:rsidP="00A6025D">
      <w:pPr>
        <w:spacing w:after="0"/>
        <w:rPr>
          <w:rFonts w:ascii="Calibri" w:eastAsia="Times New Roman" w:hAnsi="Calibri" w:cs="Calibri"/>
          <w:szCs w:val="24"/>
        </w:rPr>
      </w:pPr>
      <w:r>
        <w:rPr>
          <w:rFonts w:ascii="Calibri" w:eastAsia="Times New Roman" w:hAnsi="Calibri" w:cs="Calibri"/>
          <w:szCs w:val="24"/>
        </w:rPr>
        <w:t xml:space="preserve">Several studies have explored the relationship of caseload to child welfare workers’ turnover and retention. </w:t>
      </w:r>
      <w:r w:rsidR="00D46CE6">
        <w:rPr>
          <w:rFonts w:ascii="Calibri" w:eastAsia="Times New Roman" w:hAnsi="Calibri" w:cs="Calibri"/>
          <w:szCs w:val="24"/>
        </w:rPr>
        <w:t xml:space="preserve">The meta-analysis performed by Kim and Kao (2014) found that caseload size had a “low” effect size on turnover </w:t>
      </w:r>
      <w:r w:rsidR="00D15938">
        <w:rPr>
          <w:rFonts w:ascii="Calibri" w:eastAsia="Times New Roman" w:hAnsi="Calibri" w:cs="Calibri"/>
          <w:szCs w:val="24"/>
        </w:rPr>
        <w:t>intention (&lt;.1)</w:t>
      </w:r>
      <w:r w:rsidR="00D46CE6">
        <w:rPr>
          <w:rStyle w:val="FootnoteReference"/>
          <w:rFonts w:ascii="Calibri" w:eastAsia="Times New Roman" w:hAnsi="Calibri" w:cs="Calibri"/>
          <w:szCs w:val="24"/>
        </w:rPr>
        <w:footnoteReference w:id="17"/>
      </w:r>
      <w:r w:rsidR="00D15938">
        <w:rPr>
          <w:rFonts w:ascii="Calibri" w:eastAsia="Times New Roman" w:hAnsi="Calibri" w:cs="Calibri"/>
          <w:szCs w:val="24"/>
        </w:rPr>
        <w:t xml:space="preserve"> and the study of turnover predictors in 12 California counties also found no relationship between average worker caseload and agency-level turnover.</w:t>
      </w:r>
      <w:r w:rsidR="00D15938">
        <w:rPr>
          <w:rStyle w:val="FootnoteReference"/>
          <w:rFonts w:ascii="Calibri" w:eastAsia="Times New Roman" w:hAnsi="Calibri" w:cs="Calibri"/>
          <w:szCs w:val="24"/>
        </w:rPr>
        <w:footnoteReference w:id="18"/>
      </w:r>
      <w:r w:rsidR="00D15938">
        <w:rPr>
          <w:rFonts w:ascii="Calibri" w:eastAsia="Times New Roman" w:hAnsi="Calibri" w:cs="Calibri"/>
          <w:szCs w:val="24"/>
        </w:rPr>
        <w:t xml:space="preserve"> Other studies, however, suggest a link between caseload and turnover. </w:t>
      </w:r>
      <w:r w:rsidR="00D15938" w:rsidRPr="003D7421">
        <w:rPr>
          <w:rFonts w:ascii="Calibri" w:eastAsia="Times New Roman" w:hAnsi="Calibri" w:cs="Calibri"/>
          <w:szCs w:val="24"/>
        </w:rPr>
        <w:t>For example, a study found that retention was reduced by 6 percent for each additional case in a worker’s caseload.</w:t>
      </w:r>
      <w:r w:rsidR="00D15938" w:rsidRPr="003D7421">
        <w:rPr>
          <w:rFonts w:ascii="Calibri" w:eastAsia="Times New Roman" w:hAnsi="Calibri" w:cs="Calibri"/>
          <w:szCs w:val="24"/>
          <w:vertAlign w:val="superscript"/>
        </w:rPr>
        <w:footnoteReference w:id="19"/>
      </w:r>
      <w:r w:rsidR="00D15938" w:rsidRPr="003D7421">
        <w:rPr>
          <w:rFonts w:ascii="Calibri" w:eastAsia="Times New Roman" w:hAnsi="Calibri" w:cs="Calibri"/>
          <w:szCs w:val="24"/>
        </w:rPr>
        <w:t xml:space="preserve"> Another study of recently hired child welfare workers found that caseload size after the first week of training was a significant predictor of early job departure (within 6 months of hiring).</w:t>
      </w:r>
      <w:r w:rsidR="00D15938" w:rsidRPr="003D7421">
        <w:rPr>
          <w:rFonts w:ascii="Calibri" w:eastAsia="Times New Roman" w:hAnsi="Calibri" w:cs="Calibri"/>
          <w:szCs w:val="24"/>
          <w:vertAlign w:val="superscript"/>
        </w:rPr>
        <w:footnoteReference w:id="20"/>
      </w:r>
      <w:r w:rsidR="00D15938" w:rsidRPr="003D7421">
        <w:rPr>
          <w:rFonts w:ascii="Calibri" w:eastAsia="Times New Roman" w:hAnsi="Calibri" w:cs="Calibri"/>
          <w:szCs w:val="24"/>
        </w:rPr>
        <w:t xml:space="preserve"> The researchers found that each additional case assigned to an employee increased the probability of early departure by 10%. Another study found that 47.8% of respondents mentioned that workloads influenced their departures.</w:t>
      </w:r>
      <w:r w:rsidR="00D15938" w:rsidRPr="003D7421">
        <w:rPr>
          <w:rFonts w:ascii="Calibri" w:eastAsia="Times New Roman" w:hAnsi="Calibri" w:cs="Calibri"/>
          <w:szCs w:val="24"/>
          <w:vertAlign w:val="superscript"/>
        </w:rPr>
        <w:footnoteReference w:id="21"/>
      </w:r>
      <w:r w:rsidR="00D15938" w:rsidRPr="003D7421">
        <w:rPr>
          <w:rFonts w:ascii="Calibri" w:eastAsia="Times New Roman" w:hAnsi="Calibri" w:cs="Calibri"/>
          <w:szCs w:val="24"/>
        </w:rPr>
        <w:t xml:space="preserve"> Aspects of their workload that were identified involved issues such as having caseloads that were too large, unrealistic expectations, and long hours. When asked about factors that would have possibly made them stay on the job, 52.1% believed they would have stayed if they had more manageable workloads. Suggestions made by the participants including lowering caseloads, more realistic expectations by administration, and increasing numbers of staff.</w:t>
      </w:r>
    </w:p>
    <w:p w14:paraId="099F9651" w14:textId="764DC9AE" w:rsidR="00D15938" w:rsidRDefault="00D15938" w:rsidP="00A6025D">
      <w:pPr>
        <w:spacing w:after="0"/>
        <w:rPr>
          <w:rFonts w:ascii="Calibri" w:eastAsia="Times New Roman" w:hAnsi="Calibri" w:cs="Calibri"/>
          <w:szCs w:val="24"/>
        </w:rPr>
      </w:pPr>
    </w:p>
    <w:p w14:paraId="3BFAB1C5" w14:textId="00B4DDE9" w:rsidR="003D7421" w:rsidRDefault="00927171" w:rsidP="00A6025D">
      <w:pPr>
        <w:spacing w:after="0"/>
        <w:rPr>
          <w:rFonts w:ascii="Calibri" w:eastAsia="Times New Roman" w:hAnsi="Calibri" w:cs="Calibri"/>
          <w:szCs w:val="24"/>
        </w:rPr>
      </w:pPr>
      <w:r>
        <w:rPr>
          <w:rFonts w:ascii="Calibri" w:eastAsia="Times New Roman" w:hAnsi="Calibri" w:cs="Calibri"/>
          <w:szCs w:val="24"/>
        </w:rPr>
        <w:t xml:space="preserve">The effect of high caseloads on turnover may also be mediated through its impact on other variables, such as stress and burnout. </w:t>
      </w:r>
      <w:r w:rsidR="004D4544" w:rsidRPr="003D7421">
        <w:rPr>
          <w:rFonts w:ascii="Calibri" w:eastAsia="Times New Roman" w:hAnsi="Calibri" w:cs="Calibri"/>
          <w:szCs w:val="24"/>
        </w:rPr>
        <w:t xml:space="preserve">High </w:t>
      </w:r>
      <w:r w:rsidR="008D6C40">
        <w:rPr>
          <w:rFonts w:ascii="Calibri" w:eastAsia="Times New Roman" w:hAnsi="Calibri" w:cs="Calibri"/>
          <w:szCs w:val="24"/>
        </w:rPr>
        <w:t>caseloads</w:t>
      </w:r>
      <w:r w:rsidR="004D4544" w:rsidRPr="003D7421">
        <w:rPr>
          <w:rFonts w:ascii="Calibri" w:eastAsia="Times New Roman" w:hAnsi="Calibri" w:cs="Calibri"/>
          <w:szCs w:val="24"/>
        </w:rPr>
        <w:t xml:space="preserve"> have been found to increase workers’ stress levels and have deleterious impacts on both physical and psychological well-being.</w:t>
      </w:r>
      <w:r w:rsidR="004D4544" w:rsidRPr="003D7421">
        <w:rPr>
          <w:rFonts w:ascii="Calibri" w:eastAsia="Times New Roman" w:hAnsi="Calibri" w:cs="Calibri"/>
          <w:szCs w:val="24"/>
          <w:vertAlign w:val="superscript"/>
        </w:rPr>
        <w:footnoteReference w:id="22"/>
      </w:r>
      <w:r w:rsidR="004D4544" w:rsidRPr="003D7421">
        <w:rPr>
          <w:rFonts w:ascii="Calibri" w:eastAsia="Times New Roman" w:hAnsi="Calibri" w:cs="Calibri"/>
          <w:szCs w:val="24"/>
        </w:rPr>
        <w:t xml:space="preserve"> </w:t>
      </w:r>
      <w:r w:rsidR="002C4C54">
        <w:rPr>
          <w:rFonts w:ascii="Calibri" w:eastAsia="Times New Roman" w:hAnsi="Calibri" w:cs="Calibri"/>
          <w:szCs w:val="24"/>
        </w:rPr>
        <w:t>There is some evidence that a caseworker’s perception of their caseload may be more strongly related to intention to leave tha</w:t>
      </w:r>
      <w:r w:rsidR="005B543C">
        <w:rPr>
          <w:rFonts w:ascii="Calibri" w:eastAsia="Times New Roman" w:hAnsi="Calibri" w:cs="Calibri"/>
          <w:szCs w:val="24"/>
        </w:rPr>
        <w:t>n</w:t>
      </w:r>
      <w:r w:rsidR="002C4C54">
        <w:rPr>
          <w:rFonts w:ascii="Calibri" w:eastAsia="Times New Roman" w:hAnsi="Calibri" w:cs="Calibri"/>
          <w:szCs w:val="24"/>
        </w:rPr>
        <w:t xml:space="preserve"> the actual number of cases assigned to them.</w:t>
      </w:r>
      <w:r w:rsidR="002C4C54">
        <w:rPr>
          <w:rStyle w:val="FootnoteReference"/>
          <w:rFonts w:ascii="Calibri" w:eastAsia="Times New Roman" w:hAnsi="Calibri" w:cs="Calibri"/>
          <w:szCs w:val="24"/>
        </w:rPr>
        <w:footnoteReference w:id="23"/>
      </w:r>
      <w:r w:rsidR="00D56DE6">
        <w:rPr>
          <w:rFonts w:ascii="Calibri" w:eastAsia="Times New Roman" w:hAnsi="Calibri" w:cs="Calibri"/>
          <w:szCs w:val="24"/>
        </w:rPr>
        <w:t xml:space="preserve"> In this study, caseload was measured in three ways: 1) number of cases assigned, 2) caseworker perception of caseload, and 3) caseworker satisfaction with caseload. The correlation between caseload size and intention to leave was near zero, while both perception of and satisfaction with caseload had small but significant relationships to intentions to leave.</w:t>
      </w:r>
    </w:p>
    <w:p w14:paraId="1AED8935" w14:textId="5FBD54F5" w:rsidR="00272E8F" w:rsidRDefault="00272E8F" w:rsidP="00272E8F">
      <w:pPr>
        <w:spacing w:after="0"/>
        <w:rPr>
          <w:rFonts w:ascii="Calibri" w:eastAsia="Times New Roman" w:hAnsi="Calibri" w:cs="Calibri"/>
          <w:szCs w:val="24"/>
        </w:rPr>
      </w:pPr>
    </w:p>
    <w:p w14:paraId="2C7789CE" w14:textId="77777777" w:rsidR="00554568" w:rsidRDefault="00554568">
      <w:pPr>
        <w:rPr>
          <w:rFonts w:eastAsiaTheme="majorEastAsia" w:cstheme="majorBidi"/>
          <w:bCs/>
          <w:color w:val="0070C0"/>
          <w:sz w:val="26"/>
        </w:rPr>
      </w:pPr>
      <w:r>
        <w:br w:type="page"/>
      </w:r>
    </w:p>
    <w:p w14:paraId="18B0C7EF" w14:textId="63180B54" w:rsidR="000918A9" w:rsidRDefault="003D7107" w:rsidP="008D6C40">
      <w:pPr>
        <w:pStyle w:val="Heading3"/>
        <w:spacing w:before="0" w:after="0"/>
      </w:pPr>
      <w:bookmarkStart w:id="7" w:name="_Toc52403562"/>
      <w:r>
        <w:t>2.</w:t>
      </w:r>
      <w:r w:rsidR="000918A9">
        <w:t>3.2</w:t>
      </w:r>
      <w:r w:rsidR="000918A9">
        <w:tab/>
        <w:t>Compensation</w:t>
      </w:r>
      <w:bookmarkEnd w:id="7"/>
    </w:p>
    <w:p w14:paraId="2D6CB740" w14:textId="7AFEB69E" w:rsidR="00A72FD7" w:rsidRDefault="004F1F27" w:rsidP="008D6C40">
      <w:pPr>
        <w:spacing w:after="0"/>
      </w:pPr>
      <w:r>
        <w:t xml:space="preserve"> </w:t>
      </w:r>
    </w:p>
    <w:p w14:paraId="3BDB34A8" w14:textId="6CE68420" w:rsidR="006E7599" w:rsidRDefault="00C238C5" w:rsidP="008D6C40">
      <w:pPr>
        <w:spacing w:after="0"/>
        <w:rPr>
          <w:rFonts w:ascii="Calibri" w:eastAsia="Times New Roman" w:hAnsi="Calibri" w:cs="Calibri"/>
          <w:szCs w:val="24"/>
        </w:rPr>
      </w:pPr>
      <w:r>
        <w:rPr>
          <w:rFonts w:ascii="Calibri" w:eastAsia="Times New Roman" w:hAnsi="Calibri" w:cs="Calibri"/>
          <w:szCs w:val="24"/>
        </w:rPr>
        <w:t>Although the meta-analysis found salary to have a moderate effect on child welfare workers’</w:t>
      </w:r>
      <w:r w:rsidR="00DF20EF">
        <w:rPr>
          <w:rFonts w:ascii="Calibri" w:eastAsia="Times New Roman" w:hAnsi="Calibri" w:cs="Calibri"/>
          <w:szCs w:val="24"/>
        </w:rPr>
        <w:t xml:space="preserve"> turnover and retention, individual studies have identified it as a significant predictor. The National Council on Crime and Delinquency study cited earlier found that the average minimum salary for caseworkers had a significantly negative relationship with agency-level turning (r = -</w:t>
      </w:r>
      <w:r w:rsidR="00030550">
        <w:rPr>
          <w:rFonts w:ascii="Calibri" w:eastAsia="Times New Roman" w:hAnsi="Calibri" w:cs="Calibri"/>
          <w:szCs w:val="24"/>
        </w:rPr>
        <w:t>.80), as did the average minimum salary for child welfare supervisors (r = -.75).</w:t>
      </w:r>
      <w:r w:rsidR="000C3123">
        <w:rPr>
          <w:rStyle w:val="FootnoteReference"/>
          <w:rFonts w:ascii="Calibri" w:eastAsia="Times New Roman" w:hAnsi="Calibri" w:cs="Calibri"/>
          <w:szCs w:val="24"/>
        </w:rPr>
        <w:footnoteReference w:id="24"/>
      </w:r>
      <w:r w:rsidR="00030550">
        <w:rPr>
          <w:rFonts w:ascii="Calibri" w:eastAsia="Times New Roman" w:hAnsi="Calibri" w:cs="Calibri"/>
          <w:szCs w:val="24"/>
        </w:rPr>
        <w:t xml:space="preserve"> </w:t>
      </w:r>
      <w:r w:rsidR="006E7599">
        <w:rPr>
          <w:rFonts w:ascii="Calibri" w:eastAsia="Times New Roman" w:hAnsi="Calibri" w:cs="Calibri"/>
          <w:szCs w:val="24"/>
        </w:rPr>
        <w:t xml:space="preserve">Unlike child welfare worker caseload, identifying standards for child welfare worker compensation is difficult because compensation varies widely across and within </w:t>
      </w:r>
      <w:r w:rsidR="005B543C">
        <w:rPr>
          <w:rFonts w:ascii="Calibri" w:eastAsia="Times New Roman" w:hAnsi="Calibri" w:cs="Calibri"/>
          <w:szCs w:val="24"/>
        </w:rPr>
        <w:t>s</w:t>
      </w:r>
      <w:r w:rsidR="006E7599">
        <w:rPr>
          <w:rFonts w:ascii="Calibri" w:eastAsia="Times New Roman" w:hAnsi="Calibri" w:cs="Calibri"/>
          <w:szCs w:val="24"/>
        </w:rPr>
        <w:t xml:space="preserve">tates based on differences in the costs of living. According to the Bureau of Labor Statistics, </w:t>
      </w:r>
      <w:r w:rsidR="004001A0">
        <w:rPr>
          <w:rFonts w:ascii="Calibri" w:eastAsia="Times New Roman" w:hAnsi="Calibri" w:cs="Calibri"/>
          <w:szCs w:val="24"/>
        </w:rPr>
        <w:t>the median annual wage for all social workers in the U.S. in May 2019 was $50,470.</w:t>
      </w:r>
      <w:r w:rsidR="00097E03">
        <w:rPr>
          <w:rStyle w:val="FootnoteReference"/>
          <w:rFonts w:ascii="Calibri" w:eastAsia="Times New Roman" w:hAnsi="Calibri" w:cs="Calibri"/>
          <w:szCs w:val="24"/>
        </w:rPr>
        <w:footnoteReference w:id="25"/>
      </w:r>
      <w:r w:rsidR="00263F04">
        <w:rPr>
          <w:rFonts w:ascii="Calibri" w:eastAsia="Times New Roman" w:hAnsi="Calibri" w:cs="Calibri"/>
          <w:szCs w:val="24"/>
        </w:rPr>
        <w:t xml:space="preserve"> </w:t>
      </w:r>
      <w:r w:rsidR="004001A0">
        <w:rPr>
          <w:rFonts w:ascii="Calibri" w:eastAsia="Times New Roman" w:hAnsi="Calibri" w:cs="Calibri"/>
          <w:szCs w:val="24"/>
        </w:rPr>
        <w:t xml:space="preserve">The median annual salary for child and family social workers was $47,390, which was significantly lower than that for healthcare social workers ($56,750) but slightly higher than social workers in mental health and substance abuse settings ($46,650). </w:t>
      </w:r>
    </w:p>
    <w:p w14:paraId="188BB778" w14:textId="77777777" w:rsidR="006E7599" w:rsidRDefault="006E7599" w:rsidP="008D6C40">
      <w:pPr>
        <w:spacing w:after="0"/>
        <w:rPr>
          <w:rFonts w:ascii="Calibri" w:eastAsia="Times New Roman" w:hAnsi="Calibri" w:cs="Calibri"/>
          <w:szCs w:val="24"/>
        </w:rPr>
      </w:pPr>
    </w:p>
    <w:p w14:paraId="77307144" w14:textId="726D2969" w:rsidR="00DF20EF" w:rsidRDefault="00050146" w:rsidP="008D6C40">
      <w:pPr>
        <w:spacing w:after="0"/>
        <w:rPr>
          <w:rFonts w:ascii="Calibri" w:eastAsia="Times New Roman" w:hAnsi="Calibri" w:cs="Calibri"/>
          <w:szCs w:val="24"/>
        </w:rPr>
      </w:pPr>
      <w:r>
        <w:rPr>
          <w:rFonts w:ascii="Calibri" w:eastAsia="Times New Roman" w:hAnsi="Calibri" w:cs="Calibri"/>
          <w:szCs w:val="24"/>
        </w:rPr>
        <w:t xml:space="preserve">Several sources have </w:t>
      </w:r>
      <w:r w:rsidR="006E7599">
        <w:rPr>
          <w:rFonts w:ascii="Calibri" w:eastAsia="Times New Roman" w:hAnsi="Calibri" w:cs="Calibri"/>
          <w:szCs w:val="24"/>
        </w:rPr>
        <w:t xml:space="preserve">identified discrepancies between the salaries of child welfare </w:t>
      </w:r>
      <w:r>
        <w:rPr>
          <w:rFonts w:ascii="Calibri" w:eastAsia="Times New Roman" w:hAnsi="Calibri" w:cs="Calibri"/>
          <w:szCs w:val="24"/>
        </w:rPr>
        <w:t>workers in public</w:t>
      </w:r>
      <w:r w:rsidR="004362AE">
        <w:rPr>
          <w:rFonts w:ascii="Calibri" w:eastAsia="Times New Roman" w:hAnsi="Calibri" w:cs="Calibri"/>
          <w:szCs w:val="24"/>
        </w:rPr>
        <w:t xml:space="preserve"> versus private agency settings, with public agency workers making significantly more than private agency workers.</w:t>
      </w:r>
      <w:r w:rsidR="004362AE">
        <w:rPr>
          <w:rStyle w:val="FootnoteReference"/>
          <w:rFonts w:ascii="Calibri" w:eastAsia="Times New Roman" w:hAnsi="Calibri" w:cs="Calibri"/>
          <w:szCs w:val="24"/>
        </w:rPr>
        <w:footnoteReference w:id="26"/>
      </w:r>
      <w:r w:rsidR="005B003E">
        <w:rPr>
          <w:rFonts w:ascii="Calibri" w:eastAsia="Times New Roman" w:hAnsi="Calibri" w:cs="Calibri"/>
          <w:szCs w:val="24"/>
        </w:rPr>
        <w:t xml:space="preserve"> </w:t>
      </w:r>
      <w:r w:rsidR="00553B24">
        <w:rPr>
          <w:rFonts w:ascii="Calibri" w:eastAsia="Times New Roman" w:hAnsi="Calibri" w:cs="Calibri"/>
          <w:szCs w:val="24"/>
        </w:rPr>
        <w:t>One study examined the relationships between various aspects of job satisfaction and intention to leave among public and private child welfare agency workers.</w:t>
      </w:r>
      <w:r w:rsidR="00553B24">
        <w:rPr>
          <w:rStyle w:val="FootnoteReference"/>
          <w:rFonts w:ascii="Calibri" w:eastAsia="Times New Roman" w:hAnsi="Calibri" w:cs="Calibri"/>
          <w:szCs w:val="24"/>
        </w:rPr>
        <w:footnoteReference w:id="27"/>
      </w:r>
      <w:r w:rsidR="00553B24">
        <w:rPr>
          <w:rFonts w:ascii="Calibri" w:eastAsia="Times New Roman" w:hAnsi="Calibri" w:cs="Calibri"/>
          <w:szCs w:val="24"/>
        </w:rPr>
        <w:t xml:space="preserve"> Type of auspice (public versus private) was strongly predictive of intention to leave, with private agency workers expressing significantly stronger intentions to leave than public agency workers. The key factor predicting private agency workers’ intention to leave was their dissatisfaction with their level of pay.</w:t>
      </w:r>
    </w:p>
    <w:p w14:paraId="78D1465B" w14:textId="77777777" w:rsidR="003D1B53" w:rsidRDefault="003D1B53" w:rsidP="008D6C40">
      <w:pPr>
        <w:spacing w:after="0"/>
        <w:rPr>
          <w:rFonts w:ascii="Calibri" w:eastAsia="Times New Roman" w:hAnsi="Calibri" w:cs="Calibri"/>
          <w:szCs w:val="24"/>
        </w:rPr>
      </w:pPr>
    </w:p>
    <w:p w14:paraId="748D1A29" w14:textId="6377D9F6" w:rsidR="005F42D3" w:rsidRPr="00D52D75" w:rsidRDefault="003D1B53" w:rsidP="005B003E">
      <w:pPr>
        <w:spacing w:after="0"/>
        <w:rPr>
          <w:rFonts w:ascii="Calibri" w:eastAsia="Times New Roman" w:hAnsi="Calibri" w:cs="Calibri"/>
          <w:szCs w:val="24"/>
        </w:rPr>
      </w:pPr>
      <w:r>
        <w:rPr>
          <w:rFonts w:ascii="Calibri" w:eastAsia="Times New Roman" w:hAnsi="Calibri" w:cs="Calibri"/>
          <w:szCs w:val="24"/>
        </w:rPr>
        <w:t xml:space="preserve">Research on social work practice in general has </w:t>
      </w:r>
      <w:r w:rsidR="0041127E" w:rsidRPr="0041127E">
        <w:rPr>
          <w:rFonts w:ascii="Calibri" w:eastAsia="Times New Roman" w:hAnsi="Calibri" w:cs="Calibri"/>
          <w:szCs w:val="24"/>
        </w:rPr>
        <w:t>demonstrated that employees that feel contentment with their income are more likely to experience job satisfaction, and worker dissatisfaction with compensation is a significant factor in worker turnover.</w:t>
      </w:r>
      <w:r w:rsidR="0041127E" w:rsidRPr="0041127E">
        <w:rPr>
          <w:rFonts w:ascii="Calibri" w:eastAsia="Times New Roman" w:hAnsi="Calibri" w:cs="Calibri"/>
          <w:szCs w:val="24"/>
          <w:vertAlign w:val="superscript"/>
        </w:rPr>
        <w:footnoteReference w:id="28"/>
      </w:r>
      <w:r w:rsidR="0041127E" w:rsidRPr="0041127E">
        <w:rPr>
          <w:rFonts w:ascii="Calibri" w:eastAsia="Times New Roman" w:hAnsi="Calibri" w:cs="Calibri"/>
          <w:szCs w:val="24"/>
          <w:vertAlign w:val="superscript"/>
        </w:rPr>
        <w:t xml:space="preserve"> </w:t>
      </w:r>
      <w:r w:rsidR="00097A0D">
        <w:rPr>
          <w:rFonts w:ascii="Calibri" w:eastAsia="Times New Roman" w:hAnsi="Calibri" w:cs="Calibri"/>
          <w:szCs w:val="24"/>
          <w:vertAlign w:val="superscript"/>
        </w:rPr>
        <w:t xml:space="preserve"> </w:t>
      </w:r>
      <w:r w:rsidR="0041127E" w:rsidRPr="0041127E">
        <w:rPr>
          <w:rFonts w:ascii="Calibri" w:eastAsia="Times New Roman" w:hAnsi="Calibri" w:cs="Calibri"/>
          <w:szCs w:val="24"/>
        </w:rPr>
        <w:t>For instance, a study with 259 social workers in mental health agencies in New York found that participants’ satisfaction with salaries was positively associated with job satisfaction and negatively associated with intention to leave.</w:t>
      </w:r>
      <w:r w:rsidR="0041127E" w:rsidRPr="0041127E">
        <w:rPr>
          <w:rFonts w:ascii="Calibri" w:eastAsia="Times New Roman" w:hAnsi="Calibri" w:cs="Calibri"/>
          <w:szCs w:val="24"/>
          <w:vertAlign w:val="superscript"/>
        </w:rPr>
        <w:footnoteReference w:id="29"/>
      </w:r>
      <w:r w:rsidR="0041127E" w:rsidRPr="0041127E">
        <w:rPr>
          <w:rFonts w:ascii="Calibri" w:eastAsia="Times New Roman" w:hAnsi="Calibri" w:cs="Calibri"/>
          <w:szCs w:val="24"/>
        </w:rPr>
        <w:t xml:space="preserve"> A study with 785 MSW alumni found that 92% reported that having an above average income was somewhat to extremely important. In addition, those that stayed in the social work profession were more likely to report that salary was important than those that had left the field. Other studies have found that early leavers (within 6 months) are more likely report lower levels of satisfaction with their salaries and benefits as well as perceptions that they are under-compensated in relation to their job expectations and workload demands.</w:t>
      </w:r>
      <w:r w:rsidR="0041127E" w:rsidRPr="0041127E">
        <w:rPr>
          <w:rFonts w:ascii="Calibri" w:eastAsia="Times New Roman" w:hAnsi="Calibri" w:cs="Calibri"/>
          <w:szCs w:val="24"/>
          <w:vertAlign w:val="superscript"/>
        </w:rPr>
        <w:footnoteReference w:id="30"/>
      </w:r>
      <w:r w:rsidR="005F42D3" w:rsidRPr="005F42D3">
        <w:rPr>
          <w:rFonts w:ascii="Calibri" w:eastAsia="Times New Roman" w:hAnsi="Calibri" w:cs="Calibri"/>
          <w:szCs w:val="24"/>
          <w:highlight w:val="yellow"/>
        </w:rPr>
        <w:t xml:space="preserve"> </w:t>
      </w:r>
    </w:p>
    <w:p w14:paraId="4891D881" w14:textId="77777777" w:rsidR="0041127E" w:rsidRPr="0041127E" w:rsidRDefault="0041127E" w:rsidP="005B003E">
      <w:pPr>
        <w:spacing w:after="0"/>
        <w:rPr>
          <w:rFonts w:ascii="Calibri" w:eastAsia="Times New Roman" w:hAnsi="Calibri" w:cs="Calibri"/>
          <w:szCs w:val="24"/>
        </w:rPr>
      </w:pPr>
    </w:p>
    <w:p w14:paraId="4C9E1898" w14:textId="250920CD" w:rsidR="00AE31CB" w:rsidRDefault="003D7107" w:rsidP="00AE31CB">
      <w:pPr>
        <w:pStyle w:val="Heading3"/>
        <w:spacing w:before="0" w:after="0"/>
      </w:pPr>
      <w:bookmarkStart w:id="8" w:name="_Toc52403563"/>
      <w:r>
        <w:t>2.</w:t>
      </w:r>
      <w:r w:rsidR="00AE31CB">
        <w:t>3.3</w:t>
      </w:r>
      <w:r w:rsidR="00AE31CB">
        <w:tab/>
        <w:t>Job Satisfaction</w:t>
      </w:r>
      <w:bookmarkEnd w:id="8"/>
    </w:p>
    <w:p w14:paraId="73E13B56" w14:textId="4610EB23" w:rsidR="00AE31CB" w:rsidRDefault="00AE31CB" w:rsidP="00AE31CB">
      <w:pPr>
        <w:spacing w:after="0"/>
      </w:pPr>
    </w:p>
    <w:p w14:paraId="45614A13" w14:textId="4A7C8B76" w:rsidR="00E5188F" w:rsidRDefault="00692C6D" w:rsidP="00692C6D">
      <w:pPr>
        <w:spacing w:after="0"/>
        <w:rPr>
          <w:rFonts w:ascii="Calibri" w:eastAsia="Times New Roman" w:hAnsi="Calibri" w:cs="Calibri"/>
          <w:szCs w:val="24"/>
        </w:rPr>
      </w:pPr>
      <w:r w:rsidRPr="00692C6D">
        <w:rPr>
          <w:rFonts w:ascii="Calibri" w:eastAsia="Times New Roman" w:hAnsi="Calibri" w:cs="Calibri"/>
          <w:szCs w:val="24"/>
        </w:rPr>
        <w:t>The recent meta-analysis indicated that job satisfaction has high influence on turnover intention and turno</w:t>
      </w:r>
      <w:r w:rsidR="005D79C7">
        <w:rPr>
          <w:rFonts w:ascii="Calibri" w:eastAsia="Times New Roman" w:hAnsi="Calibri" w:cs="Calibri"/>
          <w:szCs w:val="24"/>
        </w:rPr>
        <w:t>ver among child welfare workers.</w:t>
      </w:r>
      <w:r w:rsidRPr="00692C6D">
        <w:rPr>
          <w:rFonts w:ascii="Calibri" w:eastAsia="Times New Roman" w:hAnsi="Calibri" w:cs="Calibri"/>
          <w:szCs w:val="24"/>
          <w:vertAlign w:val="superscript"/>
        </w:rPr>
        <w:footnoteReference w:id="31"/>
      </w:r>
      <w:r w:rsidRPr="00692C6D">
        <w:rPr>
          <w:rFonts w:ascii="Calibri" w:eastAsia="Times New Roman" w:hAnsi="Calibri" w:cs="Calibri"/>
          <w:szCs w:val="24"/>
        </w:rPr>
        <w:t xml:space="preserve"> </w:t>
      </w:r>
      <w:r w:rsidR="005D79C7">
        <w:rPr>
          <w:rFonts w:ascii="Calibri" w:eastAsia="Times New Roman" w:hAnsi="Calibri" w:cs="Calibri"/>
          <w:szCs w:val="24"/>
        </w:rPr>
        <w:t>For instance, a longitudinal study of newly hired child welfare workers examined the factors that predicted which workers remained at their jobs after 3-5 years.</w:t>
      </w:r>
      <w:r w:rsidR="005D79C7">
        <w:rPr>
          <w:rStyle w:val="FootnoteReference"/>
          <w:rFonts w:ascii="Calibri" w:eastAsia="Times New Roman" w:hAnsi="Calibri" w:cs="Calibri"/>
          <w:szCs w:val="24"/>
        </w:rPr>
        <w:footnoteReference w:id="32"/>
      </w:r>
      <w:r w:rsidR="005D79C7">
        <w:rPr>
          <w:rFonts w:ascii="Calibri" w:eastAsia="Times New Roman" w:hAnsi="Calibri" w:cs="Calibri"/>
          <w:szCs w:val="24"/>
        </w:rPr>
        <w:t xml:space="preserve"> Three factors predicted retention: higher levels of job satisfaction, good quality supervision, and having viewed a Realistic Job Preview</w:t>
      </w:r>
      <w:r w:rsidR="00722A91">
        <w:rPr>
          <w:rStyle w:val="FootnoteReference"/>
          <w:rFonts w:ascii="Calibri" w:eastAsia="Times New Roman" w:hAnsi="Calibri" w:cs="Calibri"/>
          <w:szCs w:val="24"/>
        </w:rPr>
        <w:footnoteReference w:id="33"/>
      </w:r>
      <w:r w:rsidR="005D79C7">
        <w:rPr>
          <w:rFonts w:ascii="Calibri" w:eastAsia="Times New Roman" w:hAnsi="Calibri" w:cs="Calibri"/>
          <w:szCs w:val="24"/>
        </w:rPr>
        <w:t xml:space="preserve"> prior to taking the job.</w:t>
      </w:r>
      <w:r w:rsidR="00836F1A">
        <w:rPr>
          <w:rFonts w:ascii="Calibri" w:eastAsia="Times New Roman" w:hAnsi="Calibri" w:cs="Calibri"/>
          <w:szCs w:val="24"/>
        </w:rPr>
        <w:t xml:space="preserve"> </w:t>
      </w:r>
      <w:r w:rsidR="005D79C7">
        <w:rPr>
          <w:rFonts w:ascii="Calibri" w:eastAsia="Times New Roman" w:hAnsi="Calibri" w:cs="Calibri"/>
          <w:szCs w:val="24"/>
        </w:rPr>
        <w:t xml:space="preserve"> </w:t>
      </w:r>
    </w:p>
    <w:p w14:paraId="63DBBD0A" w14:textId="77777777" w:rsidR="00E5188F" w:rsidRDefault="00E5188F" w:rsidP="00692C6D">
      <w:pPr>
        <w:spacing w:after="0"/>
        <w:rPr>
          <w:rFonts w:ascii="Calibri" w:eastAsia="Times New Roman" w:hAnsi="Calibri" w:cs="Calibri"/>
          <w:szCs w:val="24"/>
        </w:rPr>
      </w:pPr>
    </w:p>
    <w:p w14:paraId="20122506" w14:textId="30407DFA" w:rsidR="00692C6D" w:rsidRPr="00692C6D" w:rsidRDefault="00E5188F" w:rsidP="00692C6D">
      <w:pPr>
        <w:spacing w:after="0"/>
        <w:rPr>
          <w:rFonts w:ascii="Calibri" w:eastAsia="Times New Roman" w:hAnsi="Calibri" w:cs="Calibri"/>
          <w:szCs w:val="24"/>
        </w:rPr>
      </w:pPr>
      <w:r>
        <w:rPr>
          <w:rFonts w:ascii="Calibri" w:eastAsia="Times New Roman" w:hAnsi="Calibri" w:cs="Calibri"/>
          <w:szCs w:val="24"/>
        </w:rPr>
        <w:t xml:space="preserve">Job satisfaction may also influence turnover and retention indirectly through its relationship with other factors such as </w:t>
      </w:r>
      <w:r w:rsidR="00692C6D" w:rsidRPr="00692C6D">
        <w:rPr>
          <w:rFonts w:ascii="Calibri" w:eastAsia="Times New Roman" w:hAnsi="Calibri" w:cs="Calibri"/>
          <w:szCs w:val="24"/>
        </w:rPr>
        <w:t>quality of supervision and organizational commitment. For example, according to a 2008 study, quality of supervision was strongly tied to job satisfaction among child welfare workers.</w:t>
      </w:r>
      <w:r w:rsidR="00692C6D" w:rsidRPr="00692C6D">
        <w:rPr>
          <w:rFonts w:ascii="Calibri" w:eastAsia="Times New Roman" w:hAnsi="Calibri" w:cs="Calibri"/>
          <w:szCs w:val="24"/>
          <w:vertAlign w:val="superscript"/>
        </w:rPr>
        <w:footnoteReference w:id="34"/>
      </w:r>
      <w:r w:rsidR="00692C6D" w:rsidRPr="00692C6D">
        <w:rPr>
          <w:rFonts w:ascii="Calibri" w:eastAsia="Times New Roman" w:hAnsi="Calibri" w:cs="Calibri"/>
          <w:szCs w:val="24"/>
        </w:rPr>
        <w:t xml:space="preserve"> In this study, quality of supervision was defined as “workers’ perception of emotional support, advice giving, and amount [of supervision] received.” Workers who received at least two hours of supervision per week had higher levels of job satisfaction compared to those who received less than two hours of supervision. Additionally, according to the interviews conducted by the GAO, the caseworkers’ desire to stay in the child welfare profession was influenced by quality of supervision they received. Caseworkers who reported that they were satisfied with their jobs rated their relationship with supervisors as one of the most satisfying factors of their work.</w:t>
      </w:r>
      <w:r w:rsidR="00484644" w:rsidRPr="00692C6D">
        <w:rPr>
          <w:rFonts w:ascii="Calibri" w:eastAsia="Times New Roman" w:hAnsi="Calibri" w:cs="Calibri"/>
          <w:szCs w:val="24"/>
          <w:vertAlign w:val="superscript"/>
        </w:rPr>
        <w:footnoteReference w:id="35"/>
      </w:r>
      <w:r w:rsidR="00692C6D" w:rsidRPr="00692C6D">
        <w:rPr>
          <w:rFonts w:ascii="Calibri" w:eastAsia="Times New Roman" w:hAnsi="Calibri" w:cs="Calibri"/>
          <w:szCs w:val="24"/>
        </w:rPr>
        <w:t xml:space="preserve"> </w:t>
      </w:r>
    </w:p>
    <w:p w14:paraId="73230E66" w14:textId="77777777" w:rsidR="00692C6D" w:rsidRPr="00692C6D" w:rsidRDefault="00692C6D" w:rsidP="00692C6D">
      <w:pPr>
        <w:spacing w:after="0"/>
        <w:rPr>
          <w:rFonts w:ascii="Calibri" w:eastAsia="Times New Roman" w:hAnsi="Calibri" w:cs="Calibri"/>
          <w:szCs w:val="24"/>
        </w:rPr>
      </w:pPr>
    </w:p>
    <w:p w14:paraId="22EC5A3D" w14:textId="08F4B0EA" w:rsidR="00692C6D" w:rsidRDefault="00692C6D" w:rsidP="00692C6D">
      <w:pPr>
        <w:spacing w:after="0"/>
        <w:rPr>
          <w:rFonts w:ascii="Calibri" w:eastAsia="Times New Roman" w:hAnsi="Calibri" w:cs="Calibri"/>
          <w:szCs w:val="24"/>
        </w:rPr>
      </w:pPr>
      <w:r w:rsidRPr="00692C6D">
        <w:rPr>
          <w:rFonts w:ascii="Calibri" w:eastAsia="Times New Roman" w:hAnsi="Calibri" w:cs="Calibri"/>
          <w:szCs w:val="24"/>
        </w:rPr>
        <w:t>Some studies have indicated that job satisfaction may lead to turnover through its effects on organizational commitment.</w:t>
      </w:r>
      <w:r w:rsidRPr="00692C6D">
        <w:rPr>
          <w:rFonts w:ascii="Calibri" w:eastAsia="Times New Roman" w:hAnsi="Calibri" w:cs="Calibri"/>
          <w:szCs w:val="24"/>
          <w:vertAlign w:val="superscript"/>
        </w:rPr>
        <w:footnoteReference w:id="36"/>
      </w:r>
      <w:r w:rsidRPr="00692C6D">
        <w:rPr>
          <w:rFonts w:ascii="Calibri" w:eastAsia="Times New Roman" w:hAnsi="Calibri" w:cs="Calibri"/>
          <w:szCs w:val="24"/>
          <w:vertAlign w:val="superscript"/>
        </w:rPr>
        <w:t xml:space="preserve"> </w:t>
      </w:r>
      <w:r w:rsidR="00C419C3">
        <w:rPr>
          <w:rFonts w:ascii="Calibri" w:eastAsia="Times New Roman" w:hAnsi="Calibri" w:cs="Calibri"/>
          <w:szCs w:val="24"/>
          <w:vertAlign w:val="superscript"/>
        </w:rPr>
        <w:t xml:space="preserve"> </w:t>
      </w:r>
      <w:r w:rsidRPr="00692C6D">
        <w:rPr>
          <w:rFonts w:ascii="Calibri" w:eastAsia="Times New Roman" w:hAnsi="Calibri" w:cs="Calibri"/>
          <w:szCs w:val="24"/>
        </w:rPr>
        <w:t>Organization commitment is defined as “relative strength of an individual’s identification with the mission, goals and values of and involvement in a particular organization.”</w:t>
      </w:r>
      <w:r w:rsidRPr="00692C6D">
        <w:rPr>
          <w:rFonts w:ascii="Calibri" w:eastAsia="Times New Roman" w:hAnsi="Calibri" w:cs="Calibri"/>
          <w:szCs w:val="24"/>
          <w:vertAlign w:val="superscript"/>
        </w:rPr>
        <w:footnoteReference w:id="37"/>
      </w:r>
      <w:r w:rsidRPr="00692C6D">
        <w:rPr>
          <w:rFonts w:ascii="Calibri" w:eastAsia="Times New Roman" w:hAnsi="Calibri" w:cs="Calibri"/>
          <w:szCs w:val="24"/>
        </w:rPr>
        <w:t xml:space="preserve"> Employees who are committed to the organization are willing to accept its values and beliefs and stay with the organization; employees with lower levels of commitment are less satisfied with their jobs and more likely to plan to leave the organization.</w:t>
      </w:r>
      <w:r w:rsidRPr="00692C6D">
        <w:rPr>
          <w:rFonts w:ascii="Calibri" w:eastAsia="Times New Roman" w:hAnsi="Calibri" w:cs="Calibri"/>
          <w:szCs w:val="24"/>
          <w:vertAlign w:val="superscript"/>
        </w:rPr>
        <w:footnoteReference w:id="38"/>
      </w:r>
      <w:r w:rsidRPr="00692C6D">
        <w:rPr>
          <w:rFonts w:ascii="Calibri" w:eastAsia="Times New Roman" w:hAnsi="Calibri" w:cs="Calibri"/>
          <w:szCs w:val="24"/>
        </w:rPr>
        <w:t xml:space="preserve"> In a 2009 study involving child welfare workers in Connecticut, those who reported being committed to the mission of the agency were more satisfied at the job and less inclined to leave.</w:t>
      </w:r>
      <w:r w:rsidRPr="00692C6D">
        <w:rPr>
          <w:rFonts w:ascii="Calibri" w:eastAsia="Times New Roman" w:hAnsi="Calibri" w:cs="Calibri"/>
          <w:szCs w:val="24"/>
          <w:vertAlign w:val="superscript"/>
        </w:rPr>
        <w:footnoteReference w:id="39"/>
      </w:r>
      <w:r w:rsidR="0001356A">
        <w:rPr>
          <w:rFonts w:ascii="Calibri" w:eastAsia="Times New Roman" w:hAnsi="Calibri" w:cs="Calibri"/>
          <w:szCs w:val="24"/>
        </w:rPr>
        <w:t xml:space="preserve"> A study of commitment to child welfare work among newly hired public and private agency workers found that a worker’s level of commitment to child welfare work in general and to their agency in particular were both significantly related to whether the worker remained employed at the agency 3 to 5 years later.</w:t>
      </w:r>
      <w:r w:rsidR="00CF088C">
        <w:rPr>
          <w:rStyle w:val="FootnoteReference"/>
          <w:rFonts w:ascii="Calibri" w:eastAsia="Times New Roman" w:hAnsi="Calibri" w:cs="Calibri"/>
          <w:szCs w:val="24"/>
        </w:rPr>
        <w:footnoteReference w:id="40"/>
      </w:r>
      <w:r w:rsidR="00CF088C">
        <w:rPr>
          <w:rFonts w:ascii="Calibri" w:eastAsia="Times New Roman" w:hAnsi="Calibri" w:cs="Calibri"/>
          <w:szCs w:val="24"/>
        </w:rPr>
        <w:t xml:space="preserve"> </w:t>
      </w:r>
      <w:r w:rsidR="006A48FC">
        <w:rPr>
          <w:rFonts w:ascii="Calibri" w:eastAsia="Times New Roman" w:hAnsi="Calibri" w:cs="Calibri"/>
          <w:szCs w:val="24"/>
        </w:rPr>
        <w:t>P</w:t>
      </w:r>
      <w:r w:rsidR="00CF088C">
        <w:rPr>
          <w:rFonts w:ascii="Calibri" w:eastAsia="Times New Roman" w:hAnsi="Calibri" w:cs="Calibri"/>
          <w:szCs w:val="24"/>
        </w:rPr>
        <w:t xml:space="preserve">ublic agency child welfare workers reported significantly higher levels of commitment to child welfare work in general and to their agency compared to workers at private child welfare agencies. </w:t>
      </w:r>
      <w:r w:rsidR="006A48FC">
        <w:rPr>
          <w:rFonts w:ascii="Calibri" w:eastAsia="Times New Roman" w:hAnsi="Calibri" w:cs="Calibri"/>
          <w:szCs w:val="24"/>
        </w:rPr>
        <w:t xml:space="preserve">In addition, public agency workers were significantly more likely to have taken their child welfare job because of good pay, good benefits, and opportunities for advancement, whereas private agency workers were more likely to have taken their jobs because it was the only job available and it was a good first job </w:t>
      </w:r>
      <w:r w:rsidR="008F2193">
        <w:rPr>
          <w:rFonts w:ascii="Calibri" w:eastAsia="Times New Roman" w:hAnsi="Calibri" w:cs="Calibri"/>
          <w:szCs w:val="24"/>
        </w:rPr>
        <w:t>to take.</w:t>
      </w:r>
      <w:r w:rsidR="008F2193">
        <w:rPr>
          <w:rStyle w:val="FootnoteReference"/>
          <w:rFonts w:ascii="Calibri" w:eastAsia="Times New Roman" w:hAnsi="Calibri" w:cs="Calibri"/>
          <w:szCs w:val="24"/>
        </w:rPr>
        <w:footnoteReference w:id="41"/>
      </w:r>
    </w:p>
    <w:p w14:paraId="656ADFC3" w14:textId="61CFE868" w:rsidR="00784D61" w:rsidRDefault="00784D61" w:rsidP="00692C6D">
      <w:pPr>
        <w:spacing w:after="0"/>
        <w:rPr>
          <w:rFonts w:ascii="Calibri" w:eastAsia="Times New Roman" w:hAnsi="Calibri" w:cs="Calibri"/>
          <w:szCs w:val="24"/>
        </w:rPr>
      </w:pPr>
    </w:p>
    <w:p w14:paraId="0013CC88" w14:textId="1F4F029C" w:rsidR="00784D61" w:rsidRDefault="00784D61" w:rsidP="00692C6D">
      <w:pPr>
        <w:spacing w:after="0"/>
        <w:rPr>
          <w:rFonts w:ascii="Calibri" w:eastAsia="Times New Roman" w:hAnsi="Calibri" w:cs="Calibri"/>
          <w:szCs w:val="24"/>
        </w:rPr>
      </w:pPr>
      <w:r>
        <w:rPr>
          <w:rFonts w:ascii="Calibri" w:eastAsia="Times New Roman" w:hAnsi="Calibri" w:cs="Calibri"/>
          <w:szCs w:val="24"/>
        </w:rPr>
        <w:t>Another study examined the relationships between job satisfaction, work commitment, and intention to leave among public and private child welfare agency workers.</w:t>
      </w:r>
      <w:r>
        <w:rPr>
          <w:rStyle w:val="FootnoteReference"/>
          <w:rFonts w:ascii="Calibri" w:eastAsia="Times New Roman" w:hAnsi="Calibri" w:cs="Calibri"/>
          <w:szCs w:val="24"/>
        </w:rPr>
        <w:footnoteReference w:id="42"/>
      </w:r>
      <w:r>
        <w:rPr>
          <w:rFonts w:ascii="Calibri" w:eastAsia="Times New Roman" w:hAnsi="Calibri" w:cs="Calibri"/>
          <w:szCs w:val="24"/>
        </w:rPr>
        <w:t xml:space="preserve"> The results showed that public agency workers were more satisfied with their opportunities for promotion, benefits, and the nature of their work, whereas private agency workers were more satisfied with their coworkers. Compared to private agency workers, public agency workers scored significantly higher on an overall job satisfaction scale that combined all job domains. </w:t>
      </w:r>
      <w:r w:rsidR="00532B85">
        <w:rPr>
          <w:rFonts w:ascii="Calibri" w:eastAsia="Times New Roman" w:hAnsi="Calibri" w:cs="Calibri"/>
          <w:szCs w:val="24"/>
        </w:rPr>
        <w:t xml:space="preserve">For both types of workers, overall job satisfaction and level of commitment to child welfare </w:t>
      </w:r>
      <w:r w:rsidR="003F21EA">
        <w:rPr>
          <w:rFonts w:ascii="Calibri" w:eastAsia="Times New Roman" w:hAnsi="Calibri" w:cs="Calibri"/>
          <w:szCs w:val="24"/>
        </w:rPr>
        <w:t xml:space="preserve">predicted intention </w:t>
      </w:r>
      <w:r w:rsidR="00B27654">
        <w:rPr>
          <w:rFonts w:ascii="Calibri" w:eastAsia="Times New Roman" w:hAnsi="Calibri" w:cs="Calibri"/>
          <w:szCs w:val="24"/>
        </w:rPr>
        <w:t xml:space="preserve">to leave. </w:t>
      </w:r>
    </w:p>
    <w:p w14:paraId="55A594BB" w14:textId="77777777" w:rsidR="004518C0" w:rsidRDefault="004518C0" w:rsidP="00BE3176">
      <w:pPr>
        <w:pStyle w:val="Heading3"/>
        <w:spacing w:before="0" w:after="0"/>
        <w:rPr>
          <w:rFonts w:eastAsia="Times New Roman"/>
        </w:rPr>
      </w:pPr>
    </w:p>
    <w:p w14:paraId="2573F86E" w14:textId="3C4556A5" w:rsidR="00656FA5" w:rsidRDefault="003D7107" w:rsidP="00BE3176">
      <w:pPr>
        <w:pStyle w:val="Heading3"/>
        <w:spacing w:before="0" w:after="0"/>
        <w:rPr>
          <w:rFonts w:eastAsia="Times New Roman"/>
        </w:rPr>
      </w:pPr>
      <w:bookmarkStart w:id="9" w:name="_Toc52403564"/>
      <w:r>
        <w:rPr>
          <w:rFonts w:eastAsia="Times New Roman"/>
        </w:rPr>
        <w:t>2.</w:t>
      </w:r>
      <w:r w:rsidR="00656FA5">
        <w:rPr>
          <w:rFonts w:eastAsia="Times New Roman"/>
        </w:rPr>
        <w:t>3.4</w:t>
      </w:r>
      <w:r w:rsidR="00656FA5">
        <w:rPr>
          <w:rFonts w:eastAsia="Times New Roman"/>
        </w:rPr>
        <w:tab/>
        <w:t>Organizational Culture</w:t>
      </w:r>
      <w:bookmarkEnd w:id="9"/>
    </w:p>
    <w:p w14:paraId="2412EEA0" w14:textId="05593D61" w:rsidR="00656FA5" w:rsidRDefault="00656FA5" w:rsidP="00BE3176">
      <w:pPr>
        <w:spacing w:after="0"/>
      </w:pPr>
    </w:p>
    <w:p w14:paraId="4C4612F5" w14:textId="2E33B35C" w:rsidR="00656FA5" w:rsidRPr="00656FA5" w:rsidRDefault="00656FA5" w:rsidP="00BE3176">
      <w:pPr>
        <w:spacing w:after="0"/>
        <w:rPr>
          <w:rFonts w:ascii="Calibri" w:eastAsia="Times New Roman" w:hAnsi="Calibri" w:cs="Calibri"/>
          <w:szCs w:val="24"/>
        </w:rPr>
      </w:pPr>
      <w:r w:rsidRPr="00656FA5">
        <w:rPr>
          <w:rFonts w:ascii="Calibri" w:eastAsia="Times New Roman" w:hAnsi="Calibri" w:cs="Calibri"/>
          <w:szCs w:val="24"/>
        </w:rPr>
        <w:t>A number of studies have indicated that organizational culture is related to turnover among child welfare workers.</w:t>
      </w:r>
      <w:r w:rsidRPr="00656FA5">
        <w:rPr>
          <w:rFonts w:ascii="Calibri" w:eastAsia="Times New Roman" w:hAnsi="Calibri" w:cs="Calibri"/>
          <w:szCs w:val="24"/>
          <w:vertAlign w:val="superscript"/>
        </w:rPr>
        <w:footnoteReference w:id="43"/>
      </w:r>
      <w:r w:rsidRPr="00656FA5">
        <w:rPr>
          <w:rFonts w:ascii="Calibri" w:eastAsia="Times New Roman" w:hAnsi="Calibri" w:cs="Calibri"/>
          <w:szCs w:val="24"/>
          <w:vertAlign w:val="superscript"/>
        </w:rPr>
        <w:t xml:space="preserve"> </w:t>
      </w:r>
      <w:r w:rsidR="00C419C3">
        <w:rPr>
          <w:rFonts w:ascii="Calibri" w:eastAsia="Times New Roman" w:hAnsi="Calibri" w:cs="Calibri"/>
          <w:szCs w:val="24"/>
          <w:vertAlign w:val="superscript"/>
        </w:rPr>
        <w:t xml:space="preserve"> </w:t>
      </w:r>
      <w:r w:rsidRPr="00656FA5">
        <w:rPr>
          <w:rFonts w:ascii="Calibri" w:eastAsia="Times New Roman" w:hAnsi="Calibri" w:cs="Calibri"/>
          <w:szCs w:val="24"/>
        </w:rPr>
        <w:t>Organizational culture—defined as “a pattern of shared values and beliefs that help individuals understand organizational function and thus provide them norms for behavior in the organization”</w:t>
      </w:r>
      <w:r w:rsidRPr="00656FA5">
        <w:rPr>
          <w:rFonts w:ascii="Calibri" w:eastAsia="Times New Roman" w:hAnsi="Calibri" w:cs="Calibri"/>
          <w:szCs w:val="24"/>
          <w:vertAlign w:val="superscript"/>
        </w:rPr>
        <w:footnoteReference w:id="44"/>
      </w:r>
      <w:r w:rsidRPr="00656FA5">
        <w:rPr>
          <w:rFonts w:ascii="Calibri" w:eastAsia="Times New Roman" w:hAnsi="Calibri" w:cs="Calibri"/>
          <w:szCs w:val="24"/>
        </w:rPr>
        <w:t>—is thought to have multiple dimensions: quality of supervision, peer support, and professional commitment.</w:t>
      </w:r>
      <w:r w:rsidRPr="00656FA5">
        <w:rPr>
          <w:rFonts w:ascii="Calibri" w:eastAsia="Times New Roman" w:hAnsi="Calibri" w:cs="Calibri"/>
          <w:szCs w:val="24"/>
          <w:vertAlign w:val="superscript"/>
        </w:rPr>
        <w:footnoteReference w:id="45"/>
      </w:r>
      <w:r w:rsidRPr="00656FA5">
        <w:rPr>
          <w:rFonts w:ascii="Calibri" w:eastAsia="Times New Roman" w:hAnsi="Calibri" w:cs="Calibri"/>
          <w:szCs w:val="24"/>
        </w:rPr>
        <w:t xml:space="preserve"> Research related to each component is described below. </w:t>
      </w:r>
    </w:p>
    <w:p w14:paraId="37521260" w14:textId="77777777" w:rsidR="00656FA5" w:rsidRPr="00656FA5" w:rsidRDefault="00656FA5" w:rsidP="00BE3176">
      <w:pPr>
        <w:spacing w:after="0"/>
        <w:rPr>
          <w:rFonts w:ascii="Calibri" w:eastAsia="Times New Roman" w:hAnsi="Calibri" w:cs="Calibri"/>
          <w:szCs w:val="24"/>
        </w:rPr>
      </w:pPr>
    </w:p>
    <w:p w14:paraId="6297D0C1" w14:textId="77777777" w:rsidR="00656FA5" w:rsidRPr="00656FA5" w:rsidRDefault="00656FA5" w:rsidP="00BE3176">
      <w:pPr>
        <w:spacing w:after="0"/>
        <w:rPr>
          <w:rFonts w:ascii="Calibri" w:eastAsia="Times New Roman" w:hAnsi="Calibri" w:cs="Calibri"/>
          <w:szCs w:val="24"/>
        </w:rPr>
      </w:pPr>
      <w:r w:rsidRPr="00656FA5">
        <w:rPr>
          <w:rFonts w:ascii="Calibri" w:eastAsia="Times New Roman" w:hAnsi="Calibri" w:cs="Calibri"/>
          <w:szCs w:val="24"/>
        </w:rPr>
        <w:t>Studies have consistently demonstrated that adequate, supportive supervision is a critical factor associated with positive work-related outcomes among child welfare staff.</w:t>
      </w:r>
      <w:r w:rsidRPr="00656FA5">
        <w:rPr>
          <w:rFonts w:ascii="Calibri" w:eastAsia="Times New Roman" w:hAnsi="Calibri" w:cs="Calibri"/>
          <w:szCs w:val="24"/>
          <w:vertAlign w:val="superscript"/>
        </w:rPr>
        <w:footnoteReference w:id="46"/>
      </w:r>
      <w:r w:rsidRPr="00656FA5">
        <w:rPr>
          <w:rFonts w:ascii="Calibri" w:eastAsia="Times New Roman" w:hAnsi="Calibri" w:cs="Calibri"/>
          <w:szCs w:val="24"/>
        </w:rPr>
        <w:t xml:space="preserve"> Supportive supervision is defined as the </w:t>
      </w:r>
      <w:bookmarkStart w:id="10" w:name="OLE_LINK36"/>
      <w:bookmarkStart w:id="11" w:name="OLE_LINK37"/>
      <w:r w:rsidRPr="00656FA5">
        <w:rPr>
          <w:rFonts w:ascii="Calibri" w:eastAsia="Times New Roman" w:hAnsi="Calibri" w:cs="Calibri"/>
          <w:szCs w:val="24"/>
        </w:rPr>
        <w:t>“extent to which social workers believe their supervisors offer them instrumental (knowledge/skill) and affective (emotional) support.”</w:t>
      </w:r>
      <w:r w:rsidRPr="00656FA5">
        <w:rPr>
          <w:rFonts w:ascii="Calibri" w:eastAsia="Times New Roman" w:hAnsi="Calibri" w:cs="Calibri"/>
          <w:szCs w:val="24"/>
          <w:vertAlign w:val="superscript"/>
        </w:rPr>
        <w:footnoteReference w:id="47"/>
      </w:r>
      <w:bookmarkEnd w:id="10"/>
      <w:bookmarkEnd w:id="11"/>
      <w:r w:rsidRPr="00656FA5">
        <w:rPr>
          <w:rFonts w:ascii="Calibri" w:eastAsia="Times New Roman" w:hAnsi="Calibri" w:cs="Calibri"/>
          <w:szCs w:val="24"/>
        </w:rPr>
        <w:t xml:space="preserve"> In a 2009 study, supportive supervision was a strong predictor for intention to stay in the child welfare workforce among surveyed workers in California.</w:t>
      </w:r>
      <w:r w:rsidRPr="00656FA5">
        <w:rPr>
          <w:rFonts w:ascii="Calibri" w:eastAsia="Times New Roman" w:hAnsi="Calibri" w:cs="Calibri"/>
          <w:szCs w:val="24"/>
          <w:vertAlign w:val="superscript"/>
        </w:rPr>
        <w:footnoteReference w:id="48"/>
      </w:r>
      <w:r w:rsidRPr="00656FA5">
        <w:rPr>
          <w:rFonts w:ascii="Calibri" w:eastAsia="Times New Roman" w:hAnsi="Calibri" w:cs="Calibri"/>
          <w:szCs w:val="24"/>
        </w:rPr>
        <w:t xml:space="preserve"> Supportive supervision, which includes instrumental and affective support, can motivate these workers to stay in the workplace despite the stress and frustration of the job.</w:t>
      </w:r>
      <w:r w:rsidRPr="00656FA5">
        <w:rPr>
          <w:rFonts w:ascii="Calibri" w:eastAsia="Times New Roman" w:hAnsi="Calibri" w:cs="Calibri"/>
          <w:szCs w:val="24"/>
          <w:vertAlign w:val="superscript"/>
        </w:rPr>
        <w:footnoteReference w:id="49"/>
      </w:r>
      <w:r w:rsidRPr="00656FA5">
        <w:rPr>
          <w:rFonts w:ascii="Calibri" w:eastAsia="Times New Roman" w:hAnsi="Calibri" w:cs="Calibri"/>
          <w:szCs w:val="24"/>
        </w:rPr>
        <w:t xml:space="preserve"> In fact, the lack of adequate supervisory support can be a critical factor in caseworkers’ decisions to leave the child welfare workforce, as indicated by a qualitative study that included over 600 exit interviews with child welfare workers who left their positions.</w:t>
      </w:r>
      <w:r w:rsidRPr="00656FA5">
        <w:rPr>
          <w:rFonts w:ascii="Calibri" w:eastAsia="Times New Roman" w:hAnsi="Calibri" w:cs="Calibri"/>
          <w:szCs w:val="24"/>
          <w:vertAlign w:val="superscript"/>
        </w:rPr>
        <w:footnoteReference w:id="50"/>
      </w:r>
      <w:r w:rsidRPr="00656FA5">
        <w:rPr>
          <w:rFonts w:ascii="Calibri" w:eastAsia="Times New Roman" w:hAnsi="Calibri" w:cs="Calibri"/>
          <w:szCs w:val="24"/>
        </w:rPr>
        <w:t xml:space="preserve"> </w:t>
      </w:r>
    </w:p>
    <w:p w14:paraId="75305AD2" w14:textId="77777777" w:rsidR="00656FA5" w:rsidRPr="00656FA5" w:rsidRDefault="00656FA5" w:rsidP="00BE3176">
      <w:pPr>
        <w:spacing w:after="0"/>
        <w:rPr>
          <w:rFonts w:ascii="Calibri" w:eastAsia="Times New Roman" w:hAnsi="Calibri" w:cs="Calibri"/>
          <w:szCs w:val="24"/>
        </w:rPr>
      </w:pPr>
    </w:p>
    <w:p w14:paraId="5B191AE8" w14:textId="0FEC744A" w:rsidR="00656FA5" w:rsidRPr="00656FA5" w:rsidRDefault="00656FA5" w:rsidP="00BE3176">
      <w:pPr>
        <w:spacing w:after="0"/>
        <w:rPr>
          <w:rFonts w:ascii="Calibri" w:eastAsia="Times New Roman" w:hAnsi="Calibri" w:cs="Calibri"/>
          <w:szCs w:val="24"/>
        </w:rPr>
      </w:pPr>
      <w:r w:rsidRPr="00656FA5">
        <w:rPr>
          <w:rFonts w:ascii="Calibri" w:eastAsia="Times New Roman" w:hAnsi="Calibri" w:cs="Calibri"/>
          <w:szCs w:val="24"/>
        </w:rPr>
        <w:t>Additionally, Chen and Scannapieco found that supportive supervision was especially important to retain child welfare workers with low self-efficacy. Low-efficacy workers are emotionally reactive and experience more emotional exhaustion and stress at work co</w:t>
      </w:r>
      <w:r w:rsidR="00E1436D">
        <w:rPr>
          <w:rFonts w:ascii="Calibri" w:eastAsia="Times New Roman" w:hAnsi="Calibri" w:cs="Calibri"/>
          <w:szCs w:val="24"/>
        </w:rPr>
        <w:t>mpared to high-efficacy workers.</w:t>
      </w:r>
      <w:r w:rsidR="00E1436D" w:rsidRPr="00656FA5">
        <w:rPr>
          <w:rFonts w:ascii="Calibri" w:eastAsia="Times New Roman" w:hAnsi="Calibri" w:cs="Calibri"/>
          <w:szCs w:val="24"/>
          <w:vertAlign w:val="superscript"/>
        </w:rPr>
        <w:footnoteReference w:id="51"/>
      </w:r>
      <w:r w:rsidRPr="00656FA5">
        <w:rPr>
          <w:rFonts w:ascii="Calibri" w:eastAsia="Times New Roman" w:hAnsi="Calibri" w:cs="Calibri"/>
          <w:szCs w:val="24"/>
        </w:rPr>
        <w:t xml:space="preserve"> According to a 2009 qualitative study with child protection workers, the lack of positive feedback and ambiguous messages from supervisors regarding work performance hindered workers from feeling valued and building self-efficacy.</w:t>
      </w:r>
      <w:r w:rsidRPr="00656FA5">
        <w:rPr>
          <w:rFonts w:ascii="Calibri" w:eastAsia="Times New Roman" w:hAnsi="Calibri" w:cs="Calibri"/>
          <w:szCs w:val="24"/>
          <w:vertAlign w:val="superscript"/>
        </w:rPr>
        <w:footnoteReference w:id="52"/>
      </w:r>
      <w:r w:rsidRPr="00656FA5">
        <w:rPr>
          <w:rFonts w:ascii="Calibri" w:eastAsia="Times New Roman" w:hAnsi="Calibri" w:cs="Calibri"/>
          <w:szCs w:val="24"/>
        </w:rPr>
        <w:t xml:space="preserve"> </w:t>
      </w:r>
    </w:p>
    <w:p w14:paraId="6D2A106B" w14:textId="77777777" w:rsidR="00656FA5" w:rsidRPr="00656FA5" w:rsidRDefault="00656FA5" w:rsidP="00BE3176">
      <w:pPr>
        <w:spacing w:after="0"/>
        <w:rPr>
          <w:rFonts w:ascii="Calibri" w:eastAsia="Times New Roman" w:hAnsi="Calibri" w:cs="Calibri"/>
          <w:szCs w:val="24"/>
        </w:rPr>
      </w:pPr>
    </w:p>
    <w:p w14:paraId="01C4C66C" w14:textId="1E169B22" w:rsidR="00656FA5" w:rsidRDefault="00656FA5" w:rsidP="00BE3176">
      <w:pPr>
        <w:spacing w:after="0"/>
        <w:rPr>
          <w:rFonts w:ascii="Calibri" w:eastAsia="Times New Roman" w:hAnsi="Calibri" w:cs="Calibri"/>
          <w:szCs w:val="24"/>
        </w:rPr>
      </w:pPr>
      <w:r w:rsidRPr="00656FA5">
        <w:rPr>
          <w:rFonts w:ascii="Calibri" w:eastAsia="Times New Roman" w:hAnsi="Calibri" w:cs="Calibri"/>
          <w:szCs w:val="24"/>
        </w:rPr>
        <w:t>Similar to supervisory support, peer support—“perceived support (</w:t>
      </w:r>
      <w:bookmarkStart w:id="12" w:name="OLE_LINK42"/>
      <w:bookmarkStart w:id="13" w:name="OLE_LINK45"/>
      <w:r w:rsidRPr="00656FA5">
        <w:rPr>
          <w:rFonts w:ascii="Calibri" w:eastAsia="Times New Roman" w:hAnsi="Calibri" w:cs="Calibri"/>
          <w:szCs w:val="24"/>
        </w:rPr>
        <w:t>i.e. assistance</w:t>
      </w:r>
      <w:bookmarkEnd w:id="12"/>
      <w:bookmarkEnd w:id="13"/>
      <w:r w:rsidRPr="00656FA5">
        <w:rPr>
          <w:rFonts w:ascii="Calibri" w:eastAsia="Times New Roman" w:hAnsi="Calibri" w:cs="Calibri"/>
          <w:szCs w:val="24"/>
        </w:rPr>
        <w:t xml:space="preserve"> and understanding) which coworkers receive from their immediate work colleagues”—can have a positive influence on retention. In a 2020 study conducted by the National Child Welfare Workforce Institute, the association between peer support and retention was examined among child welfare workers.</w:t>
      </w:r>
      <w:r w:rsidRPr="00656FA5">
        <w:rPr>
          <w:rFonts w:ascii="Calibri" w:eastAsia="Times New Roman" w:hAnsi="Calibri" w:cs="Calibri"/>
          <w:szCs w:val="24"/>
          <w:vertAlign w:val="superscript"/>
        </w:rPr>
        <w:footnoteReference w:id="53"/>
      </w:r>
      <w:r w:rsidRPr="00656FA5">
        <w:rPr>
          <w:rFonts w:ascii="Calibri" w:eastAsia="Times New Roman" w:hAnsi="Calibri" w:cs="Calibri"/>
          <w:szCs w:val="24"/>
        </w:rPr>
        <w:t xml:space="preserve"> In this study, two types of peer support were assessed: social emotional support (e.g., “my coworkers listen to me when I need to talk”) and instrumental/operational support (e.g., “coworkers share information with each other to improve the effectiveness of client services”). Approximately 60% of caseworkers cited “coworkers” as a key reason they plan to stay in the job and both types of peer support were strongly associated with workers’ intention to stay in the agency. </w:t>
      </w:r>
    </w:p>
    <w:p w14:paraId="7095A741" w14:textId="0C8FC46D" w:rsidR="007607D7" w:rsidRDefault="007607D7" w:rsidP="00BE3176">
      <w:pPr>
        <w:spacing w:after="0"/>
        <w:rPr>
          <w:rFonts w:ascii="Calibri" w:eastAsia="Times New Roman" w:hAnsi="Calibri" w:cs="Calibri"/>
          <w:szCs w:val="24"/>
        </w:rPr>
      </w:pPr>
    </w:p>
    <w:p w14:paraId="741A6585" w14:textId="77777777" w:rsidR="007607D7" w:rsidRPr="0041127E" w:rsidRDefault="007607D7" w:rsidP="007607D7">
      <w:pPr>
        <w:spacing w:after="0"/>
        <w:rPr>
          <w:rFonts w:ascii="Calibri" w:eastAsia="Times New Roman" w:hAnsi="Calibri" w:cs="Calibri"/>
          <w:szCs w:val="24"/>
        </w:rPr>
      </w:pPr>
      <w:r w:rsidRPr="0041127E">
        <w:rPr>
          <w:rFonts w:ascii="Calibri" w:eastAsia="Times New Roman" w:hAnsi="Calibri" w:cs="Calibri"/>
          <w:szCs w:val="24"/>
        </w:rPr>
        <w:t>Related factors that impact retention and turnover include promotion and career development; workers that feel limited in their ability to use their professional skills for career advancement are more likely to quit.</w:t>
      </w:r>
      <w:r w:rsidRPr="0041127E">
        <w:rPr>
          <w:rFonts w:ascii="Calibri" w:eastAsia="Times New Roman" w:hAnsi="Calibri" w:cs="Calibri"/>
          <w:szCs w:val="24"/>
          <w:vertAlign w:val="superscript"/>
        </w:rPr>
        <w:footnoteReference w:id="54"/>
      </w:r>
      <w:r w:rsidRPr="0041127E">
        <w:rPr>
          <w:rFonts w:ascii="Calibri" w:eastAsia="Times New Roman" w:hAnsi="Calibri" w:cs="Calibri"/>
          <w:szCs w:val="24"/>
        </w:rPr>
        <w:t xml:space="preserve"> Having a supportive environment and opportunities within the organization were common themes that contributed to retention. Supportive environments were described as environments in which employees could both receive and provide support (e.g., with co-workers, supervisors), while opportunities within the organization referred to aspects such as the chance for career advancement, opportunities to acquire new knowledge, and job security. While examining the issue of turnover, the emergent themes revolved around 1) organizational factors linked to work demands, compensation, and unhelpful systems, and </w:t>
      </w:r>
    </w:p>
    <w:p w14:paraId="33B593AE" w14:textId="77777777" w:rsidR="007607D7" w:rsidRDefault="007607D7" w:rsidP="007607D7">
      <w:pPr>
        <w:spacing w:after="0"/>
      </w:pPr>
      <w:r w:rsidRPr="0041127E">
        <w:rPr>
          <w:rFonts w:ascii="Calibri" w:eastAsia="Times New Roman" w:hAnsi="Calibri" w:cs="Calibri"/>
          <w:szCs w:val="24"/>
        </w:rPr>
        <w:t>2) stress. High work demands would often require overtime, but workers felt judged by supervisors when needing to justify overtime, and some spoke of scenarios where they would receive less compensation when working more overtime hours.</w:t>
      </w:r>
    </w:p>
    <w:p w14:paraId="026F4ACA" w14:textId="77777777" w:rsidR="007607D7" w:rsidRPr="00656FA5" w:rsidRDefault="007607D7" w:rsidP="00BE3176">
      <w:pPr>
        <w:spacing w:after="0"/>
        <w:rPr>
          <w:rFonts w:ascii="Calibri" w:eastAsia="Times New Roman" w:hAnsi="Calibri" w:cs="Calibri"/>
          <w:szCs w:val="24"/>
        </w:rPr>
      </w:pPr>
    </w:p>
    <w:p w14:paraId="228F6941" w14:textId="1453F563" w:rsidR="00BE3176" w:rsidRDefault="003D7107" w:rsidP="00762217">
      <w:pPr>
        <w:pStyle w:val="Heading3"/>
        <w:spacing w:before="0" w:after="0"/>
        <w:rPr>
          <w:rFonts w:eastAsia="Times New Roman"/>
        </w:rPr>
      </w:pPr>
      <w:bookmarkStart w:id="14" w:name="_Toc52403565"/>
      <w:r>
        <w:rPr>
          <w:rFonts w:eastAsia="Times New Roman"/>
        </w:rPr>
        <w:t>2.</w:t>
      </w:r>
      <w:r w:rsidR="00BE3176">
        <w:rPr>
          <w:rFonts w:eastAsia="Times New Roman"/>
        </w:rPr>
        <w:t>3.5</w:t>
      </w:r>
      <w:r w:rsidR="00BE3176">
        <w:rPr>
          <w:rFonts w:eastAsia="Times New Roman"/>
        </w:rPr>
        <w:tab/>
        <w:t>Burnout</w:t>
      </w:r>
      <w:bookmarkEnd w:id="14"/>
      <w:r w:rsidR="00BE3176">
        <w:rPr>
          <w:rFonts w:eastAsia="Times New Roman"/>
        </w:rPr>
        <w:t xml:space="preserve"> </w:t>
      </w:r>
    </w:p>
    <w:p w14:paraId="239CC8E6" w14:textId="77777777" w:rsidR="00762217" w:rsidRDefault="00762217" w:rsidP="00762217">
      <w:pPr>
        <w:spacing w:after="0"/>
        <w:rPr>
          <w:rFonts w:ascii="Calibri" w:eastAsia="Times New Roman" w:hAnsi="Calibri" w:cs="Calibri"/>
          <w:szCs w:val="24"/>
        </w:rPr>
      </w:pPr>
    </w:p>
    <w:p w14:paraId="69A02AED" w14:textId="042BE92B" w:rsidR="00BE3176" w:rsidRPr="00BE3176" w:rsidRDefault="00BE3176" w:rsidP="00762217">
      <w:pPr>
        <w:spacing w:after="0"/>
        <w:rPr>
          <w:rFonts w:ascii="Calibri" w:eastAsia="Times New Roman" w:hAnsi="Calibri" w:cs="Calibri"/>
          <w:szCs w:val="24"/>
        </w:rPr>
      </w:pPr>
      <w:r w:rsidRPr="00BE3176">
        <w:rPr>
          <w:rFonts w:ascii="Calibri" w:eastAsia="Times New Roman" w:hAnsi="Calibri" w:cs="Calibri"/>
          <w:szCs w:val="24"/>
        </w:rPr>
        <w:t>Some studies have found that as many as half of child welfare staff report high levels of burnout.</w:t>
      </w:r>
      <w:r w:rsidRPr="00BE3176">
        <w:rPr>
          <w:rFonts w:ascii="Calibri" w:eastAsia="Times New Roman" w:hAnsi="Calibri" w:cs="Calibri"/>
          <w:szCs w:val="24"/>
          <w:vertAlign w:val="superscript"/>
        </w:rPr>
        <w:footnoteReference w:id="55"/>
      </w:r>
      <w:r w:rsidRPr="00BE3176">
        <w:rPr>
          <w:rFonts w:ascii="Calibri" w:eastAsia="Times New Roman" w:hAnsi="Calibri" w:cs="Calibri"/>
          <w:szCs w:val="24"/>
          <w:vertAlign w:val="superscript"/>
        </w:rPr>
        <w:t xml:space="preserve"> </w:t>
      </w:r>
      <w:r w:rsidRPr="00BE3176">
        <w:rPr>
          <w:rFonts w:ascii="Calibri" w:eastAsia="Times New Roman" w:hAnsi="Calibri" w:cs="Calibri"/>
          <w:szCs w:val="24"/>
        </w:rPr>
        <w:t xml:space="preserve">“Burnout” is a turn coined by Pete Freudenberger to describe when a practitioner becomes “inoperative.” This state of inoperativeness involves aspects of rigidity such as being “closed off” from input, feelings of </w:t>
      </w:r>
      <w:bookmarkStart w:id="15" w:name="OLE_LINK1"/>
      <w:bookmarkStart w:id="16" w:name="OLE_LINK2"/>
      <w:r w:rsidRPr="00BE3176">
        <w:rPr>
          <w:rFonts w:ascii="Calibri" w:eastAsia="Times New Roman" w:hAnsi="Calibri" w:cs="Calibri"/>
          <w:szCs w:val="24"/>
        </w:rPr>
        <w:t>resignation, irritability</w:t>
      </w:r>
      <w:bookmarkEnd w:id="15"/>
      <w:bookmarkEnd w:id="16"/>
      <w:r w:rsidRPr="00BE3176">
        <w:rPr>
          <w:rFonts w:ascii="Calibri" w:eastAsia="Times New Roman" w:hAnsi="Calibri" w:cs="Calibri"/>
          <w:szCs w:val="24"/>
        </w:rPr>
        <w:t>, and quickness to anger. Additional symptoms in this state include emotional exhaustion, depersonalization, and reduced sense of accomplishment.</w:t>
      </w:r>
      <w:r w:rsidRPr="00BE3176">
        <w:rPr>
          <w:rFonts w:ascii="Calibri" w:eastAsia="Times New Roman" w:hAnsi="Calibri" w:cs="Calibri"/>
          <w:szCs w:val="24"/>
          <w:vertAlign w:val="superscript"/>
        </w:rPr>
        <w:footnoteReference w:id="56"/>
      </w:r>
      <w:r w:rsidRPr="00BE3176">
        <w:rPr>
          <w:rFonts w:ascii="Calibri" w:eastAsia="Times New Roman" w:hAnsi="Calibri" w:cs="Calibri"/>
          <w:szCs w:val="24"/>
          <w:vertAlign w:val="superscript"/>
        </w:rPr>
        <w:t xml:space="preserve"> </w:t>
      </w:r>
      <w:r w:rsidRPr="00BE3176">
        <w:rPr>
          <w:rFonts w:ascii="Calibri" w:eastAsia="Times New Roman" w:hAnsi="Calibri" w:cs="Calibri"/>
          <w:szCs w:val="24"/>
        </w:rPr>
        <w:t>A study of 751 practicing social workers examining burnout found that 39% reported currently experiencing burnout and only 25% reported never having any trouble with burnout.</w:t>
      </w:r>
      <w:r w:rsidRPr="00BE3176">
        <w:rPr>
          <w:rFonts w:ascii="Calibri" w:eastAsia="Times New Roman" w:hAnsi="Calibri" w:cs="Calibri"/>
          <w:szCs w:val="24"/>
          <w:vertAlign w:val="superscript"/>
        </w:rPr>
        <w:footnoteReference w:id="57"/>
      </w:r>
      <w:r w:rsidRPr="00BE3176">
        <w:rPr>
          <w:rFonts w:ascii="Calibri" w:eastAsia="Times New Roman" w:hAnsi="Calibri" w:cs="Calibri"/>
          <w:szCs w:val="24"/>
        </w:rPr>
        <w:t xml:space="preserve"> A qualitative study of female social workers in child welfare that were dissatisfied had experienced burnout on the job felt compromised in both their performance and well-being.</w:t>
      </w:r>
      <w:r w:rsidRPr="00BE3176">
        <w:rPr>
          <w:rFonts w:ascii="Calibri" w:eastAsia="Times New Roman" w:hAnsi="Calibri" w:cs="Calibri"/>
          <w:szCs w:val="24"/>
          <w:vertAlign w:val="superscript"/>
        </w:rPr>
        <w:footnoteReference w:id="58"/>
      </w:r>
      <w:r w:rsidRPr="00BE3176">
        <w:rPr>
          <w:rFonts w:ascii="Calibri" w:eastAsia="Times New Roman" w:hAnsi="Calibri" w:cs="Calibri"/>
          <w:szCs w:val="24"/>
        </w:rPr>
        <w:t xml:space="preserve"> Multiple studies have linked high levels of burnout with increased risks for turnover intention and actual turnover.</w:t>
      </w:r>
      <w:r w:rsidRPr="00BE3176">
        <w:rPr>
          <w:rFonts w:ascii="Calibri" w:eastAsia="Times New Roman" w:hAnsi="Calibri" w:cs="Calibri"/>
          <w:szCs w:val="24"/>
          <w:vertAlign w:val="superscript"/>
        </w:rPr>
        <w:footnoteReference w:id="59"/>
      </w:r>
      <w:r w:rsidRPr="00BE3176">
        <w:rPr>
          <w:rFonts w:ascii="Calibri" w:eastAsia="Times New Roman" w:hAnsi="Calibri" w:cs="Calibri"/>
          <w:szCs w:val="24"/>
          <w:vertAlign w:val="superscript"/>
        </w:rPr>
        <w:t xml:space="preserve"> </w:t>
      </w:r>
      <w:r w:rsidRPr="00BE3176">
        <w:rPr>
          <w:rFonts w:ascii="Calibri" w:eastAsia="Times New Roman" w:hAnsi="Calibri" w:cs="Calibri"/>
          <w:szCs w:val="24"/>
        </w:rPr>
        <w:t>A meta-analysis on turnover among child welfare, social work, and other human services employees between 1980 and 2000 found that one of the strongest predictors for intention to leave and turnover was burnout.</w:t>
      </w:r>
      <w:r w:rsidRPr="00BE3176">
        <w:rPr>
          <w:rFonts w:ascii="Calibri" w:eastAsia="Times New Roman" w:hAnsi="Calibri" w:cs="Calibri"/>
          <w:szCs w:val="24"/>
          <w:vertAlign w:val="superscript"/>
        </w:rPr>
        <w:footnoteReference w:id="60"/>
      </w:r>
    </w:p>
    <w:p w14:paraId="409BA8B4" w14:textId="77777777" w:rsidR="00BE3176" w:rsidRPr="00BE3176" w:rsidRDefault="00BE3176" w:rsidP="00BE3176">
      <w:pPr>
        <w:spacing w:after="0"/>
        <w:rPr>
          <w:rFonts w:ascii="Calibri" w:eastAsia="Times New Roman" w:hAnsi="Calibri" w:cs="Calibri"/>
          <w:szCs w:val="24"/>
        </w:rPr>
      </w:pPr>
    </w:p>
    <w:p w14:paraId="2EA3DCBB" w14:textId="77777777" w:rsidR="00BE3176" w:rsidRPr="00BE3176" w:rsidRDefault="00BE3176" w:rsidP="00BE3176">
      <w:pPr>
        <w:spacing w:after="0"/>
        <w:rPr>
          <w:rFonts w:ascii="Calibri" w:eastAsia="Times New Roman" w:hAnsi="Calibri" w:cs="Calibri"/>
          <w:szCs w:val="24"/>
        </w:rPr>
      </w:pPr>
      <w:r w:rsidRPr="00BE3176">
        <w:rPr>
          <w:rFonts w:ascii="Calibri" w:eastAsia="Times New Roman" w:hAnsi="Calibri" w:cs="Calibri"/>
          <w:szCs w:val="24"/>
        </w:rPr>
        <w:t>To measure burnout, researchers use tools like the Copenhagen Burnout Inventory (CBI).</w:t>
      </w:r>
      <w:r w:rsidRPr="00BE3176">
        <w:rPr>
          <w:rFonts w:ascii="Calibri" w:eastAsia="Times New Roman" w:hAnsi="Calibri" w:cs="Calibri"/>
          <w:szCs w:val="24"/>
          <w:vertAlign w:val="superscript"/>
        </w:rPr>
        <w:footnoteReference w:id="61"/>
      </w:r>
      <w:r w:rsidRPr="00BE3176">
        <w:rPr>
          <w:rFonts w:ascii="Calibri" w:eastAsia="Times New Roman" w:hAnsi="Calibri" w:cs="Calibri"/>
          <w:szCs w:val="24"/>
        </w:rPr>
        <w:t xml:space="preserve"> CBI measures the state of both physical and emotional exhaustion, and respondents are asked to indicate the sources of these emotions from the following three domains of their life: </w:t>
      </w:r>
    </w:p>
    <w:p w14:paraId="5F57B584" w14:textId="77777777" w:rsidR="00BE3176" w:rsidRPr="00BE3176" w:rsidRDefault="00BE3176" w:rsidP="00BE3176">
      <w:pPr>
        <w:spacing w:after="0"/>
        <w:rPr>
          <w:rFonts w:ascii="Calibri" w:eastAsia="Times New Roman" w:hAnsi="Calibri" w:cs="Calibri"/>
          <w:szCs w:val="24"/>
        </w:rPr>
      </w:pPr>
      <w:r w:rsidRPr="00BE3176">
        <w:rPr>
          <w:rFonts w:ascii="Calibri" w:eastAsia="Times New Roman" w:hAnsi="Calibri" w:cs="Calibri"/>
          <w:szCs w:val="24"/>
        </w:rPr>
        <w:t>1) personal burnout, 2) work-related burnout, and 3) client-related burnout. Personal burnout refers to feelings of burnout that are unrelated to occupational status and is applicable to general audiences. Work-related burnout is the extent to which employees identify work as a source of feelings of burnout. Lastly, client-related burnout refers to an employee’s association of their feelings of burnout through work with clients. A study of 2,302 caseworkers and supervisors found that staff had higher levels of work-related than client-related burnout.</w:t>
      </w:r>
      <w:r w:rsidRPr="00BE3176">
        <w:rPr>
          <w:rFonts w:ascii="Calibri" w:eastAsia="Times New Roman" w:hAnsi="Calibri" w:cs="Calibri"/>
          <w:szCs w:val="24"/>
          <w:vertAlign w:val="superscript"/>
        </w:rPr>
        <w:footnoteReference w:id="62"/>
      </w:r>
      <w:r w:rsidRPr="00BE3176">
        <w:rPr>
          <w:rFonts w:ascii="Calibri" w:eastAsia="Times New Roman" w:hAnsi="Calibri" w:cs="Calibri"/>
          <w:szCs w:val="24"/>
        </w:rPr>
        <w:t xml:space="preserve"> There were no differences between caseworkers and supervisors on work-related burnout, but case-carrying staff reported higher levels of client-related burnout than non-case-carrying staff and supervisors. Burnout was positively associated with job stress and inversely associated with job satisfaction and intent to stay. </w:t>
      </w:r>
    </w:p>
    <w:p w14:paraId="42DB8303" w14:textId="77777777" w:rsidR="00BE3176" w:rsidRPr="00BE3176" w:rsidRDefault="00BE3176" w:rsidP="00BE3176">
      <w:pPr>
        <w:spacing w:after="0"/>
        <w:rPr>
          <w:rFonts w:ascii="Calibri" w:eastAsia="Times New Roman" w:hAnsi="Calibri" w:cs="Calibri"/>
          <w:b/>
          <w:bCs/>
          <w:szCs w:val="24"/>
        </w:rPr>
      </w:pPr>
    </w:p>
    <w:p w14:paraId="7A3DDFCE" w14:textId="77777777" w:rsidR="00BE3176" w:rsidRPr="00BE3176" w:rsidRDefault="00BE3176" w:rsidP="00BE3176">
      <w:pPr>
        <w:spacing w:after="0"/>
        <w:rPr>
          <w:rFonts w:ascii="Calibri" w:eastAsia="Times New Roman" w:hAnsi="Calibri" w:cs="Calibri"/>
          <w:szCs w:val="24"/>
          <w:vertAlign w:val="superscript"/>
        </w:rPr>
      </w:pPr>
      <w:r w:rsidRPr="00BE3176">
        <w:rPr>
          <w:rFonts w:ascii="Calibri" w:eastAsia="Times New Roman" w:hAnsi="Calibri" w:cs="Calibri"/>
          <w:szCs w:val="24"/>
        </w:rPr>
        <w:t>Other studies on burnout have utilized the Maslach Burnout Inventory (MBI), which measures three dimensions of burnout: exhaustion, cynicism, and inefficacy. Exhaustion refers to a lack of energy and feeling emotionally drained. Exhaustion can lead to a lack of compassion or negative attitudes and behaviors, affecting workers’ ability to meet their demands when working with clients. Cynicism refers to the process of distancing oneself from the emotional needs of clients as a coping response. Lastly, inefficacy is marked by individuals’ perceptions that they are not adequate in meeting the needs of their clients and not making a difference. Research has shown support of the validity of these three distinct concepts,</w:t>
      </w:r>
      <w:r w:rsidRPr="00BE3176">
        <w:rPr>
          <w:rFonts w:ascii="Calibri" w:eastAsia="Times New Roman" w:hAnsi="Calibri" w:cs="Calibri"/>
          <w:szCs w:val="24"/>
          <w:vertAlign w:val="superscript"/>
        </w:rPr>
        <w:footnoteReference w:id="63"/>
      </w:r>
      <w:r w:rsidRPr="00BE3176">
        <w:rPr>
          <w:rFonts w:ascii="Calibri" w:eastAsia="Times New Roman" w:hAnsi="Calibri" w:cs="Calibri"/>
          <w:szCs w:val="24"/>
        </w:rPr>
        <w:t xml:space="preserve"> although there seems to be some agreement by scholars that exhaustion is the most salient component of burnout.</w:t>
      </w:r>
      <w:r w:rsidRPr="00BE3176">
        <w:rPr>
          <w:rFonts w:ascii="Calibri" w:eastAsia="Times New Roman" w:hAnsi="Calibri" w:cs="Calibri"/>
          <w:szCs w:val="24"/>
          <w:vertAlign w:val="superscript"/>
        </w:rPr>
        <w:footnoteReference w:id="64"/>
      </w:r>
      <w:r w:rsidRPr="00BE3176">
        <w:rPr>
          <w:rFonts w:ascii="Calibri" w:eastAsia="Times New Roman" w:hAnsi="Calibri" w:cs="Calibri"/>
          <w:szCs w:val="24"/>
        </w:rPr>
        <w:t xml:space="preserve"> A recent longitudinal study with 362 front line social workers and social work supervisors in the United States found that exhaustion significantly increased depersonalization. Exhaustion was significantly associated with both work withdrawal and exit, while depersonalization was associated with exit but not work withdrawal.</w:t>
      </w:r>
      <w:r w:rsidRPr="00BE3176">
        <w:rPr>
          <w:rFonts w:ascii="Calibri" w:eastAsia="Times New Roman" w:hAnsi="Calibri" w:cs="Calibri"/>
          <w:szCs w:val="24"/>
          <w:vertAlign w:val="superscript"/>
        </w:rPr>
        <w:footnoteReference w:id="65"/>
      </w:r>
      <w:r w:rsidRPr="00BE3176">
        <w:rPr>
          <w:rFonts w:ascii="Calibri" w:eastAsia="Times New Roman" w:hAnsi="Calibri" w:cs="Calibri"/>
          <w:szCs w:val="24"/>
          <w:vertAlign w:val="superscript"/>
        </w:rPr>
        <w:t xml:space="preserve"> </w:t>
      </w:r>
    </w:p>
    <w:p w14:paraId="32BFDA3F" w14:textId="77777777" w:rsidR="00BE3176" w:rsidRPr="00BE3176" w:rsidRDefault="00BE3176" w:rsidP="00BE3176">
      <w:pPr>
        <w:spacing w:after="0"/>
        <w:rPr>
          <w:rFonts w:ascii="Calibri" w:eastAsia="Times New Roman" w:hAnsi="Calibri" w:cs="Calibri"/>
          <w:szCs w:val="24"/>
        </w:rPr>
      </w:pPr>
    </w:p>
    <w:p w14:paraId="052478D5" w14:textId="77777777" w:rsidR="00BE3176" w:rsidRPr="00BE3176" w:rsidRDefault="00BE3176" w:rsidP="00BE3176">
      <w:pPr>
        <w:spacing w:after="0"/>
        <w:rPr>
          <w:rFonts w:ascii="Calibri" w:eastAsia="Times New Roman" w:hAnsi="Calibri" w:cs="Calibri"/>
          <w:szCs w:val="24"/>
        </w:rPr>
      </w:pPr>
      <w:r w:rsidRPr="00BE3176">
        <w:rPr>
          <w:rFonts w:ascii="Calibri" w:eastAsia="Times New Roman" w:hAnsi="Calibri" w:cs="Calibri"/>
          <w:szCs w:val="24"/>
        </w:rPr>
        <w:t>In addition to these quantitative measures of burnout, qualitative research has shed some light on how aspects of child welfare work contributes to burnout and affect retention (e.g., demanding work, stress). A qualitative study using exit interviews with 69 departing child welfare workers found that 72.4% reported negative impacts of their jobs on their personal life as a reason for leaving, including feeling emotionally burnt out.</w:t>
      </w:r>
      <w:r w:rsidRPr="00BE3176">
        <w:rPr>
          <w:rFonts w:ascii="Calibri" w:eastAsia="Times New Roman" w:hAnsi="Calibri" w:cs="Calibri"/>
          <w:szCs w:val="24"/>
          <w:vertAlign w:val="superscript"/>
        </w:rPr>
        <w:footnoteReference w:id="66"/>
      </w:r>
      <w:r w:rsidRPr="00BE3176">
        <w:rPr>
          <w:rFonts w:ascii="Calibri" w:eastAsia="Times New Roman" w:hAnsi="Calibri" w:cs="Calibri"/>
          <w:szCs w:val="24"/>
        </w:rPr>
        <w:t xml:space="preserve"> Workers in human service and crisis settings face unique stressors that increase their levels of stress, ultimately making them more susceptible for burnout.</w:t>
      </w:r>
      <w:r w:rsidRPr="00BE3176">
        <w:rPr>
          <w:rFonts w:ascii="Calibri" w:eastAsia="Times New Roman" w:hAnsi="Calibri" w:cs="Calibri"/>
          <w:szCs w:val="24"/>
          <w:vertAlign w:val="superscript"/>
        </w:rPr>
        <w:footnoteReference w:id="67"/>
      </w:r>
      <w:r w:rsidRPr="00BE3176">
        <w:rPr>
          <w:rFonts w:ascii="Calibri" w:eastAsia="Times New Roman" w:hAnsi="Calibri" w:cs="Calibri"/>
          <w:szCs w:val="24"/>
        </w:rPr>
        <w:t xml:space="preserve"> Social service professionals that work with victims of interpersonal violence (IPV) are especially at risk for stress and burnout. For example, a study compared child protection workers with other types of social workers and found that exposure to child maltreatment and role stress were significantly associated with secondary traumatization, which led to increased risk of burnout and turnover.</w:t>
      </w:r>
      <w:r w:rsidRPr="00BE3176">
        <w:rPr>
          <w:rFonts w:ascii="Calibri" w:eastAsia="Times New Roman" w:hAnsi="Calibri" w:cs="Calibri"/>
          <w:szCs w:val="24"/>
          <w:vertAlign w:val="superscript"/>
        </w:rPr>
        <w:footnoteReference w:id="68"/>
      </w:r>
      <w:r w:rsidRPr="00BE3176">
        <w:rPr>
          <w:rFonts w:ascii="Calibri" w:eastAsia="Times New Roman" w:hAnsi="Calibri" w:cs="Calibri"/>
          <w:szCs w:val="24"/>
        </w:rPr>
        <w:t xml:space="preserve"> </w:t>
      </w:r>
    </w:p>
    <w:p w14:paraId="633C43F7" w14:textId="77777777" w:rsidR="00BE3176" w:rsidRPr="00BE3176" w:rsidRDefault="00BE3176" w:rsidP="00BE3176">
      <w:pPr>
        <w:spacing w:after="0"/>
        <w:rPr>
          <w:rFonts w:ascii="Calibri" w:eastAsia="Times New Roman" w:hAnsi="Calibri" w:cs="Calibri"/>
          <w:szCs w:val="24"/>
        </w:rPr>
      </w:pPr>
    </w:p>
    <w:p w14:paraId="1A084A9A" w14:textId="77777777" w:rsidR="00BE3176" w:rsidRPr="00BE3176" w:rsidRDefault="00BE3176" w:rsidP="00BE3176">
      <w:pPr>
        <w:spacing w:after="0"/>
        <w:rPr>
          <w:rFonts w:ascii="Calibri" w:eastAsia="Times New Roman" w:hAnsi="Calibri" w:cs="Calibri"/>
          <w:szCs w:val="24"/>
        </w:rPr>
      </w:pPr>
      <w:r w:rsidRPr="00BE3176">
        <w:rPr>
          <w:rFonts w:ascii="Calibri" w:eastAsia="Times New Roman" w:hAnsi="Calibri" w:cs="Calibri"/>
          <w:szCs w:val="24"/>
        </w:rPr>
        <w:t>Studies have also examined worker characteristics that may be associated with burnout. For example, child welfare workers who are younger and have fewer years of professional experience have higher rates of burnout.</w:t>
      </w:r>
      <w:r w:rsidRPr="00BE3176">
        <w:rPr>
          <w:rFonts w:ascii="Calibri" w:eastAsia="Times New Roman" w:hAnsi="Calibri" w:cs="Calibri"/>
          <w:szCs w:val="24"/>
          <w:vertAlign w:val="superscript"/>
        </w:rPr>
        <w:footnoteReference w:id="69"/>
      </w:r>
      <w:r w:rsidRPr="00BE3176">
        <w:rPr>
          <w:rFonts w:ascii="Calibri" w:eastAsia="Times New Roman" w:hAnsi="Calibri" w:cs="Calibri"/>
          <w:szCs w:val="24"/>
        </w:rPr>
        <w:t xml:space="preserve"> Previous research with welfare workers in the public sector has found high rates of burnout and stress, with 62% of front-line Child Protective Service (CPS) workers reporting high levels of emotional exhaustion.</w:t>
      </w:r>
      <w:r w:rsidRPr="00BE3176">
        <w:rPr>
          <w:rFonts w:ascii="Calibri" w:eastAsia="Times New Roman" w:hAnsi="Calibri" w:cs="Calibri"/>
          <w:szCs w:val="24"/>
          <w:vertAlign w:val="superscript"/>
        </w:rPr>
        <w:footnoteReference w:id="70"/>
      </w:r>
      <w:r w:rsidRPr="00BE3176">
        <w:rPr>
          <w:rFonts w:ascii="Calibri" w:eastAsia="Times New Roman" w:hAnsi="Calibri" w:cs="Calibri"/>
          <w:szCs w:val="24"/>
        </w:rPr>
        <w:t xml:space="preserve"> Other studies have examined differences in burnout between workers in public and private child welfare sectors. For example, a study examined how public child welfare workers’ perceptions of their job conditions, unmet expectations, and burnout differed from social workers in other settings (e.g., private child welfare, private mental health).</w:t>
      </w:r>
      <w:r w:rsidRPr="00BE3176">
        <w:rPr>
          <w:rFonts w:ascii="Calibri" w:eastAsia="Times New Roman" w:hAnsi="Calibri" w:cs="Calibri"/>
          <w:szCs w:val="24"/>
          <w:vertAlign w:val="superscript"/>
        </w:rPr>
        <w:footnoteReference w:id="71"/>
      </w:r>
      <w:r w:rsidRPr="00BE3176">
        <w:rPr>
          <w:rFonts w:ascii="Calibri" w:eastAsia="Times New Roman" w:hAnsi="Calibri" w:cs="Calibri"/>
          <w:szCs w:val="24"/>
        </w:rPr>
        <w:t xml:space="preserve"> They found that public child welfare worker perceptions of work overload were significantly higher than social workers in other settings, and that public child welfare workers reported higher levels of role conflict than workers in private child welfare and mental health care settings. In addition, public child welfare workers had significantly higher levels of depersonalization than child welfare workers in the private sector but not of those in other settings. Public child welfare workers also reported significantly lower perceived personal accomplishment than private child welfare workers, public and private mental health workers, and social workers in other private settings. Another study found that social workers in public settings reported more burnout than those in private settings; moreover, burnout appeared to decline with increasing years in private agencies but not for those in public agency settings.</w:t>
      </w:r>
      <w:r w:rsidRPr="00BE3176">
        <w:rPr>
          <w:rFonts w:ascii="Calibri" w:eastAsia="Times New Roman" w:hAnsi="Calibri" w:cs="Calibri"/>
          <w:szCs w:val="24"/>
          <w:vertAlign w:val="superscript"/>
        </w:rPr>
        <w:footnoteReference w:id="72"/>
      </w:r>
      <w:r w:rsidRPr="00BE3176">
        <w:rPr>
          <w:rFonts w:ascii="Calibri" w:eastAsia="Times New Roman" w:hAnsi="Calibri" w:cs="Calibri"/>
          <w:szCs w:val="24"/>
        </w:rPr>
        <w:t xml:space="preserve"> </w:t>
      </w:r>
    </w:p>
    <w:p w14:paraId="6334E9AF" w14:textId="77777777" w:rsidR="00BE3176" w:rsidRPr="00BE3176" w:rsidRDefault="00BE3176" w:rsidP="00BE3176"/>
    <w:p w14:paraId="539E0128" w14:textId="7EAFD7B1" w:rsidR="008454B0" w:rsidRPr="00071F24" w:rsidRDefault="003D7107" w:rsidP="00860FE9">
      <w:pPr>
        <w:pStyle w:val="Heading2"/>
        <w:spacing w:before="0" w:after="0" w:line="360" w:lineRule="auto"/>
        <w:rPr>
          <w:sz w:val="28"/>
          <w:szCs w:val="28"/>
        </w:rPr>
      </w:pPr>
      <w:bookmarkStart w:id="17" w:name="_Toc52403566"/>
      <w:r>
        <w:rPr>
          <w:sz w:val="28"/>
          <w:szCs w:val="28"/>
        </w:rPr>
        <w:t>2.</w:t>
      </w:r>
      <w:r w:rsidR="00091E6F" w:rsidRPr="00071F24">
        <w:rPr>
          <w:sz w:val="28"/>
          <w:szCs w:val="28"/>
        </w:rPr>
        <w:t>4</w:t>
      </w:r>
      <w:r w:rsidR="00091E6F" w:rsidRPr="00071F24">
        <w:rPr>
          <w:sz w:val="28"/>
          <w:szCs w:val="28"/>
        </w:rPr>
        <w:tab/>
      </w:r>
      <w:r w:rsidR="00071F24" w:rsidRPr="00071F24">
        <w:rPr>
          <w:sz w:val="28"/>
          <w:szCs w:val="28"/>
        </w:rPr>
        <w:t>Strategies to Address Retention</w:t>
      </w:r>
      <w:bookmarkEnd w:id="17"/>
      <w:r w:rsidR="008454B0" w:rsidRPr="00071F24">
        <w:rPr>
          <w:sz w:val="28"/>
          <w:szCs w:val="28"/>
        </w:rPr>
        <w:t xml:space="preserve"> </w:t>
      </w:r>
    </w:p>
    <w:p w14:paraId="50253F59" w14:textId="6847F5ED" w:rsidR="00616F57" w:rsidRPr="00616F57" w:rsidRDefault="00616F57" w:rsidP="00A358C9">
      <w:pPr>
        <w:spacing w:after="0"/>
        <w:rPr>
          <w:rFonts w:ascii="Calibri" w:eastAsia="Times New Roman" w:hAnsi="Calibri" w:cs="Calibri"/>
          <w:szCs w:val="24"/>
        </w:rPr>
      </w:pPr>
      <w:r w:rsidRPr="00EE718B">
        <w:rPr>
          <w:rFonts w:ascii="Calibri" w:eastAsia="Times New Roman" w:hAnsi="Calibri" w:cs="Calibri"/>
          <w:szCs w:val="24"/>
        </w:rPr>
        <w:t>As detailed above, extensive research has examined the predictors of turnover. This section</w:t>
      </w:r>
      <w:r w:rsidRPr="00616F57">
        <w:rPr>
          <w:rFonts w:ascii="Calibri" w:eastAsia="Times New Roman" w:hAnsi="Calibri" w:cs="Calibri"/>
          <w:szCs w:val="24"/>
          <w:highlight w:val="yellow"/>
        </w:rPr>
        <w:t xml:space="preserve"> </w:t>
      </w:r>
      <w:r w:rsidRPr="00EE718B">
        <w:rPr>
          <w:rFonts w:ascii="Calibri" w:eastAsia="Times New Roman" w:hAnsi="Calibri" w:cs="Calibri"/>
          <w:szCs w:val="24"/>
        </w:rPr>
        <w:t xml:space="preserve">outlines research on strategies to address </w:t>
      </w:r>
      <w:r w:rsidR="00F05361">
        <w:rPr>
          <w:rFonts w:ascii="Calibri" w:eastAsia="Times New Roman" w:hAnsi="Calibri" w:cs="Calibri"/>
          <w:szCs w:val="24"/>
        </w:rPr>
        <w:t xml:space="preserve">worker retention or factors that are related to retention such as job satisfaction, burnout, secondary traumatic stress, and organizational commitment. </w:t>
      </w:r>
      <w:r w:rsidRPr="00EE718B">
        <w:rPr>
          <w:rFonts w:ascii="Calibri" w:eastAsia="Times New Roman" w:hAnsi="Calibri" w:cs="Calibri"/>
          <w:szCs w:val="24"/>
        </w:rPr>
        <w:t xml:space="preserve">The </w:t>
      </w:r>
      <w:r w:rsidR="00F05361">
        <w:rPr>
          <w:rFonts w:ascii="Calibri" w:eastAsia="Times New Roman" w:hAnsi="Calibri" w:cs="Calibri"/>
          <w:szCs w:val="24"/>
        </w:rPr>
        <w:t xml:space="preserve">majority of the </w:t>
      </w:r>
      <w:r w:rsidRPr="00EE718B">
        <w:rPr>
          <w:rFonts w:ascii="Calibri" w:eastAsia="Times New Roman" w:hAnsi="Calibri" w:cs="Calibri"/>
          <w:szCs w:val="24"/>
        </w:rPr>
        <w:t xml:space="preserve">strategies reviewed in this section can be categorized as promising practices, which means that </w:t>
      </w:r>
      <w:r w:rsidR="00F05361">
        <w:rPr>
          <w:rFonts w:ascii="Calibri" w:eastAsia="Times New Roman" w:hAnsi="Calibri" w:cs="Calibri"/>
          <w:szCs w:val="24"/>
        </w:rPr>
        <w:t xml:space="preserve">they have been subject to evaluation in at least one </w:t>
      </w:r>
      <w:r w:rsidR="00F05361" w:rsidRPr="00F05361">
        <w:rPr>
          <w:rFonts w:ascii="Calibri" w:eastAsia="Times New Roman" w:hAnsi="Calibri" w:cs="Calibri"/>
          <w:szCs w:val="24"/>
        </w:rPr>
        <w:t xml:space="preserve">study utilizing some form of control (e.g., untreated group, placebo group, matched wait list study) </w:t>
      </w:r>
      <w:r w:rsidR="00F05361">
        <w:rPr>
          <w:rFonts w:ascii="Calibri" w:eastAsia="Times New Roman" w:hAnsi="Calibri" w:cs="Calibri"/>
          <w:szCs w:val="24"/>
        </w:rPr>
        <w:t>that established the intervention’s benefit over the control group on outcomes specified in the criteria for that topic area (e.g., worker retention).</w:t>
      </w:r>
      <w:r w:rsidRPr="00EE718B">
        <w:rPr>
          <w:rFonts w:ascii="Calibri" w:eastAsia="Times New Roman" w:hAnsi="Calibri" w:cs="Calibri"/>
          <w:szCs w:val="24"/>
          <w:vertAlign w:val="superscript"/>
        </w:rPr>
        <w:footnoteReference w:id="73"/>
      </w:r>
      <w:r w:rsidRPr="00616F57">
        <w:rPr>
          <w:rFonts w:ascii="Calibri" w:eastAsia="Times New Roman" w:hAnsi="Calibri" w:cs="Calibri"/>
          <w:szCs w:val="24"/>
        </w:rPr>
        <w:t xml:space="preserve">  </w:t>
      </w:r>
    </w:p>
    <w:p w14:paraId="3D035A1E" w14:textId="77777777" w:rsidR="00B91511" w:rsidRDefault="00B91511" w:rsidP="00A358C9">
      <w:pPr>
        <w:spacing w:after="0"/>
      </w:pPr>
    </w:p>
    <w:p w14:paraId="1D2DEA63" w14:textId="04246A58" w:rsidR="00B91511" w:rsidRDefault="003D7107" w:rsidP="00A358C9">
      <w:pPr>
        <w:pStyle w:val="Heading3"/>
        <w:spacing w:before="0" w:after="0"/>
      </w:pPr>
      <w:bookmarkStart w:id="18" w:name="_Toc52403567"/>
      <w:r>
        <w:t>2.</w:t>
      </w:r>
      <w:r w:rsidR="00B91511">
        <w:t>4.1</w:t>
      </w:r>
      <w:r w:rsidR="00B91511">
        <w:tab/>
        <w:t>Enhancing Workforce to Meet Professional Job Requirements</w:t>
      </w:r>
      <w:bookmarkEnd w:id="18"/>
    </w:p>
    <w:p w14:paraId="5967F95C" w14:textId="77777777" w:rsidR="00A358C9" w:rsidRDefault="00A358C9" w:rsidP="00A358C9">
      <w:pPr>
        <w:spacing w:after="0"/>
        <w:rPr>
          <w:rFonts w:ascii="Calibri" w:eastAsia="Times New Roman" w:hAnsi="Calibri" w:cs="Calibri"/>
          <w:szCs w:val="24"/>
        </w:rPr>
      </w:pPr>
    </w:p>
    <w:p w14:paraId="3350237A" w14:textId="2173253A" w:rsidR="005D7ABF" w:rsidRPr="005D7ABF" w:rsidRDefault="005D7ABF" w:rsidP="00A358C9">
      <w:pPr>
        <w:spacing w:after="0"/>
        <w:rPr>
          <w:rFonts w:ascii="Calibri" w:eastAsia="Times New Roman" w:hAnsi="Calibri" w:cs="Calibri"/>
          <w:szCs w:val="24"/>
        </w:rPr>
      </w:pPr>
      <w:r w:rsidRPr="005D7ABF">
        <w:rPr>
          <w:rFonts w:ascii="Calibri" w:eastAsia="Times New Roman" w:hAnsi="Calibri" w:cs="Calibri"/>
          <w:szCs w:val="24"/>
        </w:rPr>
        <w:t xml:space="preserve">The demands of child welfare work require a skilled workforce well-equipped in many areas including applying culturally proficient interpersonal skills; implementing critical thinking and collaborative problem-solving; documenting progress of families towards goals; and working with service providers and court personnel to support children and families. As highlighted in the first section, the demanding nature of child welfare work is associated with increased turnover among child welfare caseworkers and investigators. To help workers better meet the demands of the job, one of the main strategies used by child welfare systems to improve work-related skills and supports is through worker training initiatives. This section highlights research on promising training strategies, including simulation-based training, supervisor training, and competency-based training. </w:t>
      </w:r>
    </w:p>
    <w:p w14:paraId="246DC741" w14:textId="77777777" w:rsidR="005D7ABF" w:rsidRPr="005D7ABF" w:rsidRDefault="005D7ABF" w:rsidP="005D7ABF">
      <w:pPr>
        <w:spacing w:after="0"/>
        <w:rPr>
          <w:rFonts w:ascii="Calibri" w:eastAsia="Times New Roman" w:hAnsi="Calibri" w:cs="Calibri"/>
          <w:szCs w:val="24"/>
        </w:rPr>
      </w:pPr>
    </w:p>
    <w:p w14:paraId="2281CA7A" w14:textId="214E7C03" w:rsidR="005D7ABF" w:rsidRPr="005D7ABF" w:rsidRDefault="005D7ABF" w:rsidP="005D7ABF">
      <w:pPr>
        <w:spacing w:after="0"/>
        <w:rPr>
          <w:rFonts w:ascii="Calibri" w:eastAsia="Times New Roman" w:hAnsi="Calibri" w:cs="Calibri"/>
          <w:szCs w:val="24"/>
        </w:rPr>
      </w:pPr>
      <w:r w:rsidRPr="005D7ABF">
        <w:rPr>
          <w:rFonts w:ascii="Calibri" w:eastAsia="Times New Roman" w:hAnsi="Calibri" w:cs="Calibri"/>
          <w:szCs w:val="24"/>
        </w:rPr>
        <w:t>The first approach we describe is simulation-based training, in which a child welfare worker is trained via the realistic simulation of their job duties, including investigating allegations of child maltreatment, interacting with parents (portrayed by standardized patients or professional actors), preparing supporting documentation of that maltreatment, and presenting the evidence in a mock court room. Following the success of simulation training in healthcare, child welfare training has increasingly focused on simulation-based training approaches.</w:t>
      </w:r>
      <w:r w:rsidRPr="005D7ABF">
        <w:rPr>
          <w:rFonts w:ascii="Calibri" w:eastAsia="Times New Roman" w:hAnsi="Calibri" w:cs="Calibri"/>
          <w:szCs w:val="24"/>
          <w:vertAlign w:val="superscript"/>
        </w:rPr>
        <w:footnoteReference w:id="74"/>
      </w:r>
      <w:r w:rsidRPr="005D7ABF">
        <w:rPr>
          <w:rFonts w:ascii="Calibri" w:eastAsia="Times New Roman" w:hAnsi="Calibri" w:cs="Calibri"/>
          <w:szCs w:val="24"/>
        </w:rPr>
        <w:t xml:space="preserve"> For example, California, Illinois, Minnesota, Nebraska, Oklahoma, Pennsylvania, and Utah have adopted simulation-based approaches to training child welfare workers, and other states have begun implementation (personal communication, </w:t>
      </w:r>
      <w:r w:rsidR="00467E8A">
        <w:rPr>
          <w:rFonts w:ascii="Calibri" w:eastAsia="Times New Roman" w:hAnsi="Calibri" w:cs="Calibri"/>
          <w:szCs w:val="24"/>
        </w:rPr>
        <w:t xml:space="preserve">Dr. </w:t>
      </w:r>
      <w:r w:rsidRPr="005D7ABF">
        <w:rPr>
          <w:rFonts w:ascii="Calibri" w:eastAsia="Times New Roman" w:hAnsi="Calibri" w:cs="Calibri"/>
          <w:szCs w:val="24"/>
        </w:rPr>
        <w:t>B</w:t>
      </w:r>
      <w:r w:rsidR="00467E8A">
        <w:rPr>
          <w:rFonts w:ascii="Calibri" w:eastAsia="Times New Roman" w:hAnsi="Calibri" w:cs="Calibri"/>
          <w:szCs w:val="24"/>
        </w:rPr>
        <w:t>etsy</w:t>
      </w:r>
      <w:r w:rsidRPr="005D7ABF">
        <w:rPr>
          <w:rFonts w:ascii="Calibri" w:eastAsia="Times New Roman" w:hAnsi="Calibri" w:cs="Calibri"/>
          <w:szCs w:val="24"/>
        </w:rPr>
        <w:t xml:space="preserve"> Goulet, 2019). Of particular relevance for the audience of this literature review are the efforts in Illinois. In the 2019 evaluation report of Illinois' simulation training initiative, Chiu and Cross assessed the impact of simulation training on turnover.</w:t>
      </w:r>
      <w:r w:rsidRPr="005D7ABF">
        <w:rPr>
          <w:rFonts w:ascii="Calibri" w:eastAsia="Times New Roman" w:hAnsi="Calibri" w:cs="Calibri"/>
          <w:szCs w:val="24"/>
          <w:vertAlign w:val="superscript"/>
        </w:rPr>
        <w:footnoteReference w:id="75"/>
      </w:r>
      <w:r w:rsidRPr="005D7ABF">
        <w:rPr>
          <w:rFonts w:ascii="Calibri" w:eastAsia="Times New Roman" w:hAnsi="Calibri" w:cs="Calibri"/>
          <w:szCs w:val="24"/>
        </w:rPr>
        <w:t xml:space="preserve"> They found that, in comparison to a historical group that did not receive simulation training, staff who received simulation training were significantly more likely to remain on the job after 18 months. Because simulation training is </w:t>
      </w:r>
      <w:r w:rsidR="00934DE8">
        <w:rPr>
          <w:rFonts w:ascii="Calibri" w:eastAsia="Times New Roman" w:hAnsi="Calibri" w:cs="Calibri"/>
          <w:szCs w:val="24"/>
        </w:rPr>
        <w:t xml:space="preserve">a </w:t>
      </w:r>
      <w:r w:rsidR="0074670F">
        <w:rPr>
          <w:rFonts w:ascii="Calibri" w:eastAsia="Times New Roman" w:hAnsi="Calibri" w:cs="Calibri"/>
          <w:szCs w:val="24"/>
        </w:rPr>
        <w:t xml:space="preserve">relatively </w:t>
      </w:r>
      <w:r w:rsidRPr="005D7ABF">
        <w:rPr>
          <w:rFonts w:ascii="Calibri" w:eastAsia="Times New Roman" w:hAnsi="Calibri" w:cs="Calibri"/>
          <w:szCs w:val="24"/>
        </w:rPr>
        <w:t xml:space="preserve">new initiative, more research is needed to understand the relationship between simulation training and turnover. </w:t>
      </w:r>
      <w:r w:rsidR="0074670F">
        <w:rPr>
          <w:rFonts w:ascii="Calibri" w:eastAsia="Times New Roman" w:hAnsi="Calibri" w:cs="Calibri"/>
          <w:szCs w:val="24"/>
        </w:rPr>
        <w:t>Previous findings</w:t>
      </w:r>
      <w:r w:rsidRPr="005D7ABF">
        <w:rPr>
          <w:rFonts w:ascii="Calibri" w:eastAsia="Times New Roman" w:hAnsi="Calibri" w:cs="Calibri"/>
          <w:szCs w:val="24"/>
        </w:rPr>
        <w:t xml:space="preserve"> suggest it is a promising practice to help workers meet the demands of their jobs and intend to stay in their positions. </w:t>
      </w:r>
    </w:p>
    <w:p w14:paraId="68417732" w14:textId="77777777" w:rsidR="005D7ABF" w:rsidRPr="005D7ABF" w:rsidRDefault="005D7ABF" w:rsidP="005D7ABF">
      <w:pPr>
        <w:spacing w:after="0"/>
        <w:rPr>
          <w:rFonts w:ascii="Calibri" w:eastAsia="Times New Roman" w:hAnsi="Calibri" w:cs="Calibri"/>
          <w:szCs w:val="24"/>
        </w:rPr>
      </w:pPr>
    </w:p>
    <w:p w14:paraId="3286A0F1" w14:textId="77777777" w:rsidR="005D7ABF" w:rsidRPr="005D7ABF" w:rsidRDefault="005D7ABF" w:rsidP="005D7ABF">
      <w:pPr>
        <w:spacing w:after="0"/>
        <w:rPr>
          <w:rFonts w:ascii="Calibri" w:eastAsia="Times New Roman" w:hAnsi="Calibri" w:cs="Calibri"/>
          <w:szCs w:val="24"/>
        </w:rPr>
      </w:pPr>
      <w:r w:rsidRPr="005D7ABF">
        <w:rPr>
          <w:rFonts w:ascii="Calibri" w:eastAsia="Times New Roman" w:hAnsi="Calibri" w:cs="Calibri"/>
          <w:szCs w:val="24"/>
        </w:rPr>
        <w:t>The second training strategy with promising impact on worker retention is support for transfer of learning, in which supervisors and peers support the transfer of skills learned in training into practice in the field. Using a sample of 416 Ohio child protective services workers, Curry and colleagues analyzed factors affecting transfer of learning and staff retention/turnover among participants of a three-month training program.</w:t>
      </w:r>
      <w:r w:rsidRPr="005D7ABF">
        <w:rPr>
          <w:rFonts w:ascii="Calibri" w:eastAsia="Times New Roman" w:hAnsi="Calibri" w:cs="Calibri"/>
          <w:szCs w:val="24"/>
          <w:vertAlign w:val="superscript"/>
        </w:rPr>
        <w:footnoteReference w:id="76"/>
      </w:r>
      <w:r w:rsidRPr="005D7ABF">
        <w:rPr>
          <w:rFonts w:ascii="Calibri" w:eastAsia="Times New Roman" w:hAnsi="Calibri" w:cs="Calibri"/>
          <w:szCs w:val="24"/>
        </w:rPr>
        <w:t xml:space="preserve"> The researchers assessed the association between training participation, transfer of learning, and retention. Transfer of learning was measured via worker ratings of how much they were able to put the knowledge gained in training into practice. Workers with higher ratings of transfer of learning were more likely to remain in their jobs. As with simulation training, the available research on the value of support for putting training skills into practice is promising, but limited. More research is needed to understand the full impact. </w:t>
      </w:r>
    </w:p>
    <w:p w14:paraId="71D906FA" w14:textId="77777777" w:rsidR="005D7ABF" w:rsidRPr="005D7ABF" w:rsidRDefault="005D7ABF" w:rsidP="005D7ABF">
      <w:pPr>
        <w:spacing w:after="0"/>
        <w:rPr>
          <w:rFonts w:ascii="Calibri" w:eastAsia="Times New Roman" w:hAnsi="Calibri" w:cs="Calibri"/>
          <w:szCs w:val="24"/>
        </w:rPr>
      </w:pPr>
    </w:p>
    <w:p w14:paraId="2DEDA553" w14:textId="77777777" w:rsidR="005D7ABF" w:rsidRPr="005D7ABF" w:rsidRDefault="005D7ABF" w:rsidP="00F927DA">
      <w:pPr>
        <w:spacing w:after="0"/>
        <w:rPr>
          <w:rFonts w:ascii="Calibri" w:eastAsia="Times New Roman" w:hAnsi="Calibri" w:cs="Calibri"/>
          <w:szCs w:val="24"/>
        </w:rPr>
      </w:pPr>
      <w:r w:rsidRPr="005D7ABF">
        <w:rPr>
          <w:rFonts w:ascii="Calibri" w:eastAsia="Times New Roman" w:hAnsi="Calibri" w:cs="Calibri"/>
          <w:szCs w:val="24"/>
        </w:rPr>
        <w:t>Another promising practice is to establish job-related competencies so that workers understand the skills they are expected to have in their positions and the link between available trainings and required skills. Job-related competencies are an integrated and detailed set of abilities, attributes, and skills which help an individual to perform the duties associated with their job role. When child welfare organizations define job-related competencies, "all employees are recruited, selected, developed, appraised, and promoted” based on shared set of attributes for each position.</w:t>
      </w:r>
      <w:r w:rsidRPr="005D7ABF">
        <w:rPr>
          <w:rFonts w:ascii="Calibri" w:eastAsia="Times New Roman" w:hAnsi="Calibri" w:cs="Calibri"/>
          <w:szCs w:val="24"/>
          <w:vertAlign w:val="superscript"/>
        </w:rPr>
        <w:footnoteReference w:id="77"/>
      </w:r>
      <w:r w:rsidRPr="005D7ABF">
        <w:rPr>
          <w:rFonts w:ascii="Calibri" w:eastAsia="Times New Roman" w:hAnsi="Calibri" w:cs="Calibri"/>
          <w:szCs w:val="24"/>
        </w:rPr>
        <w:t xml:space="preserve"> Establishing job-related competencies may increase employee retention, at least among new employees. An evaluation of a competency-based training program in California among prospective child welfare workers found those who received the training remained in their positions significantly longer than workers in the comparison group.</w:t>
      </w:r>
      <w:r w:rsidRPr="005D7ABF">
        <w:rPr>
          <w:rFonts w:ascii="Calibri" w:eastAsia="Times New Roman" w:hAnsi="Calibri" w:cs="Calibri"/>
          <w:szCs w:val="24"/>
          <w:vertAlign w:val="superscript"/>
        </w:rPr>
        <w:footnoteReference w:id="78"/>
      </w:r>
      <w:r w:rsidRPr="005D7ABF">
        <w:rPr>
          <w:rFonts w:ascii="Calibri" w:eastAsia="Times New Roman" w:hAnsi="Calibri" w:cs="Calibri"/>
          <w:szCs w:val="24"/>
        </w:rPr>
        <w:t xml:space="preserve"> </w:t>
      </w:r>
    </w:p>
    <w:p w14:paraId="7D5EDDD7" w14:textId="77777777" w:rsidR="003D7107" w:rsidRDefault="003D7107" w:rsidP="00F927DA">
      <w:pPr>
        <w:pStyle w:val="Heading3"/>
        <w:spacing w:before="0" w:after="0"/>
      </w:pPr>
    </w:p>
    <w:p w14:paraId="32DC5169" w14:textId="25F68527" w:rsidR="006D1E79" w:rsidRDefault="003D7107" w:rsidP="00F927DA">
      <w:pPr>
        <w:pStyle w:val="Heading3"/>
        <w:spacing w:before="0" w:after="0"/>
      </w:pPr>
      <w:bookmarkStart w:id="19" w:name="_Toc52403568"/>
      <w:r>
        <w:t>2.</w:t>
      </w:r>
      <w:r w:rsidR="000B75AC">
        <w:t>4.2</w:t>
      </w:r>
      <w:r w:rsidR="000B75AC">
        <w:tab/>
        <w:t xml:space="preserve">Providing Peer </w:t>
      </w:r>
      <w:r w:rsidR="001C7E2C">
        <w:t xml:space="preserve">and </w:t>
      </w:r>
      <w:r w:rsidR="000B75AC">
        <w:t>Supervisor Support</w:t>
      </w:r>
      <w:r w:rsidR="001C7E2C">
        <w:t xml:space="preserve"> </w:t>
      </w:r>
      <w:r w:rsidR="000B75AC">
        <w:t>to Address Job Demands</w:t>
      </w:r>
      <w:bookmarkEnd w:id="19"/>
    </w:p>
    <w:p w14:paraId="4BCF300F" w14:textId="66739952" w:rsidR="000B75AC" w:rsidRDefault="000B75AC" w:rsidP="00F927DA">
      <w:pPr>
        <w:spacing w:after="0"/>
      </w:pPr>
    </w:p>
    <w:p w14:paraId="5F4C8A25" w14:textId="77777777" w:rsidR="00F927DA" w:rsidRPr="00F927DA" w:rsidRDefault="00F927DA" w:rsidP="00F927DA">
      <w:pPr>
        <w:spacing w:after="0"/>
        <w:rPr>
          <w:rFonts w:ascii="Calibri" w:eastAsia="Times New Roman" w:hAnsi="Calibri" w:cs="Calibri"/>
          <w:szCs w:val="24"/>
        </w:rPr>
      </w:pPr>
      <w:r w:rsidRPr="00F927DA">
        <w:rPr>
          <w:rFonts w:ascii="Calibri" w:eastAsia="Times New Roman" w:hAnsi="Calibri" w:cs="Calibri"/>
          <w:szCs w:val="24"/>
        </w:rPr>
        <w:t xml:space="preserve">The professional job demands that workers may improve through training are only one piece of the demands on workers; to meet the emotional requirements of the job, peer and supervisor support may help reduce emotional burnout and increase worker retention. One specific area in which peer and supervisor support may be particularly useful is in helping workers deal with secondary traumatic stress that comes from working closely with children and families that have experienced, and/or perpetrated abuse, neglect, and trauma. </w:t>
      </w:r>
      <w:bookmarkStart w:id="20" w:name="OLE_LINK21"/>
      <w:bookmarkStart w:id="21" w:name="OLE_LINK22"/>
      <w:r w:rsidRPr="00F927DA">
        <w:rPr>
          <w:rFonts w:ascii="Calibri" w:eastAsia="Times New Roman" w:hAnsi="Calibri" w:cs="Calibri"/>
          <w:szCs w:val="24"/>
        </w:rPr>
        <w:t>Secondary traumatic stress</w:t>
      </w:r>
      <w:r w:rsidRPr="00F927DA">
        <w:rPr>
          <w:rFonts w:ascii="Calibri" w:eastAsia="Times New Roman" w:hAnsi="Calibri" w:cs="Calibri"/>
          <w:szCs w:val="24"/>
          <w:vertAlign w:val="superscript"/>
        </w:rPr>
        <w:footnoteReference w:id="79"/>
      </w:r>
      <w:r w:rsidRPr="00F927DA">
        <w:rPr>
          <w:rFonts w:ascii="Calibri" w:eastAsia="Times New Roman" w:hAnsi="Calibri" w:cs="Calibri"/>
          <w:szCs w:val="24"/>
        </w:rPr>
        <w:t xml:space="preserve"> is defined as "the natural, consequent behaviors and emotions resulting from knowledge about a traumatizing event experienced by a significant other. It is the stress resulting from helping or wanting to help a traumatized or suffering person.”</w:t>
      </w:r>
      <w:r w:rsidRPr="00F927DA">
        <w:rPr>
          <w:rFonts w:ascii="Calibri" w:eastAsia="Times New Roman" w:hAnsi="Calibri" w:cs="Calibri"/>
          <w:szCs w:val="24"/>
          <w:vertAlign w:val="superscript"/>
        </w:rPr>
        <w:footnoteReference w:id="80"/>
      </w:r>
      <w:r w:rsidRPr="00F927DA">
        <w:rPr>
          <w:rFonts w:ascii="Calibri" w:eastAsia="Times New Roman" w:hAnsi="Calibri" w:cs="Calibri"/>
          <w:szCs w:val="24"/>
        </w:rPr>
        <w:t xml:space="preserve"> </w:t>
      </w:r>
      <w:bookmarkEnd w:id="20"/>
      <w:bookmarkEnd w:id="21"/>
      <w:r w:rsidRPr="00F927DA">
        <w:rPr>
          <w:rFonts w:ascii="Calibri" w:eastAsia="Times New Roman" w:hAnsi="Calibri" w:cs="Calibri"/>
          <w:szCs w:val="24"/>
        </w:rPr>
        <w:t>In a study of about 1,200 child welfare professionals in five different child welfare organizations in four states, Middleton and Potter found a significant association between vicarious trauma experienced by child welfare workers and workers’ intent-to-leave.</w:t>
      </w:r>
      <w:r w:rsidRPr="00F927DA">
        <w:rPr>
          <w:rFonts w:ascii="Calibri" w:eastAsia="Times New Roman" w:hAnsi="Calibri" w:cs="Calibri"/>
          <w:szCs w:val="24"/>
          <w:vertAlign w:val="superscript"/>
        </w:rPr>
        <w:footnoteReference w:id="81"/>
      </w:r>
      <w:r w:rsidRPr="00F927DA">
        <w:rPr>
          <w:rFonts w:ascii="Calibri" w:eastAsia="Times New Roman" w:hAnsi="Calibri" w:cs="Calibri"/>
          <w:szCs w:val="24"/>
        </w:rPr>
        <w:t xml:space="preserve"> Peer and supervisor support may offer a way to reduce the negative effects of secondary traumatic stress and thus reduce worker intent-to-leave. In a study of 154 social workers providing support to survivors of family violence or sexual assault, higher levels of support from peers, supervisors, and work teams was associated with lower levels of self-reported secondary traumatic stress.</w:t>
      </w:r>
      <w:r w:rsidRPr="00F927DA">
        <w:rPr>
          <w:rFonts w:ascii="Calibri" w:eastAsia="Times New Roman" w:hAnsi="Calibri" w:cs="Calibri"/>
          <w:szCs w:val="24"/>
          <w:vertAlign w:val="superscript"/>
        </w:rPr>
        <w:footnoteReference w:id="82"/>
      </w:r>
      <w:r w:rsidRPr="00F927DA">
        <w:rPr>
          <w:rFonts w:ascii="Calibri" w:eastAsia="Times New Roman" w:hAnsi="Calibri" w:cs="Calibri"/>
          <w:szCs w:val="24"/>
        </w:rPr>
        <w:t xml:space="preserve"> In a statewide sample of about 200 child welfare workers in a New England state, Boyas and Wind found significant association between perceptions of increased supervisor support and reduced job stress and emotional exhaustion.</w:t>
      </w:r>
      <w:r w:rsidRPr="00F927DA">
        <w:rPr>
          <w:rFonts w:ascii="Calibri" w:eastAsia="Times New Roman" w:hAnsi="Calibri" w:cs="Calibri"/>
          <w:szCs w:val="24"/>
          <w:vertAlign w:val="superscript"/>
        </w:rPr>
        <w:footnoteReference w:id="83"/>
      </w:r>
      <w:r w:rsidRPr="00F927DA">
        <w:rPr>
          <w:rFonts w:ascii="Calibri" w:eastAsia="Times New Roman" w:hAnsi="Calibri" w:cs="Calibri"/>
          <w:szCs w:val="24"/>
        </w:rPr>
        <w:t xml:space="preserve"> Increased peer and supervisor support may help workers handle the demands of their jobs and lead to reduced turnover. </w:t>
      </w:r>
      <w:r w:rsidRPr="00F927DA">
        <w:rPr>
          <w:rFonts w:ascii="Calibri" w:eastAsia="Times New Roman" w:hAnsi="Calibri" w:cs="Calibri"/>
          <w:szCs w:val="24"/>
        </w:rPr>
        <w:br/>
      </w:r>
    </w:p>
    <w:p w14:paraId="3E917440" w14:textId="3BDAC5B6" w:rsidR="00B4570B" w:rsidRDefault="003D7107" w:rsidP="00B4570B">
      <w:pPr>
        <w:pStyle w:val="Heading3"/>
        <w:spacing w:before="0" w:after="0"/>
        <w:rPr>
          <w:rFonts w:eastAsia="Times New Roman"/>
        </w:rPr>
      </w:pPr>
      <w:bookmarkStart w:id="22" w:name="_Toc52403569"/>
      <w:r>
        <w:rPr>
          <w:rFonts w:eastAsia="Times New Roman"/>
        </w:rPr>
        <w:t>2.</w:t>
      </w:r>
      <w:r w:rsidR="00B4570B">
        <w:rPr>
          <w:rFonts w:eastAsia="Times New Roman"/>
        </w:rPr>
        <w:t>4.3</w:t>
      </w:r>
      <w:r w:rsidR="00B4570B">
        <w:rPr>
          <w:rFonts w:eastAsia="Times New Roman"/>
        </w:rPr>
        <w:tab/>
        <w:t>Building Proficient Organizational Cultures</w:t>
      </w:r>
      <w:bookmarkEnd w:id="22"/>
    </w:p>
    <w:p w14:paraId="6B997A19" w14:textId="289BBB45" w:rsidR="00B4570B" w:rsidRDefault="00B4570B" w:rsidP="00B4570B">
      <w:pPr>
        <w:spacing w:after="0"/>
      </w:pPr>
    </w:p>
    <w:p w14:paraId="787828FB" w14:textId="77777777" w:rsidR="005B10F0" w:rsidRDefault="00B4570B" w:rsidP="00115BEF">
      <w:pPr>
        <w:spacing w:after="0"/>
        <w:rPr>
          <w:rFonts w:ascii="Calibri" w:eastAsia="Times New Roman" w:hAnsi="Calibri" w:cs="Calibri"/>
          <w:szCs w:val="24"/>
        </w:rPr>
      </w:pPr>
      <w:r w:rsidRPr="00B4570B">
        <w:rPr>
          <w:rFonts w:ascii="Calibri" w:eastAsia="Times New Roman" w:hAnsi="Calibri" w:cs="Calibri"/>
          <w:szCs w:val="24"/>
        </w:rPr>
        <w:t>Building from quality supervision, organizational culture is a broader concept that encompasses an organization's shared values and beliefs and sets the standard for employee contributions to the organization's mission.</w:t>
      </w:r>
      <w:r w:rsidRPr="00B4570B">
        <w:rPr>
          <w:rFonts w:ascii="Calibri" w:eastAsia="Times New Roman" w:hAnsi="Calibri" w:cs="Calibri"/>
          <w:szCs w:val="24"/>
          <w:vertAlign w:val="superscript"/>
        </w:rPr>
        <w:footnoteReference w:id="84"/>
      </w:r>
      <w:r w:rsidRPr="00B4570B">
        <w:rPr>
          <w:rFonts w:ascii="Calibri" w:eastAsia="Times New Roman" w:hAnsi="Calibri" w:cs="Calibri"/>
          <w:szCs w:val="24"/>
        </w:rPr>
        <w:t xml:space="preserve"> When workers share the values and beliefs of the organization and are committed to the organization's goals, they are more likely to remain in their positions.</w:t>
      </w:r>
      <w:r w:rsidRPr="00B4570B">
        <w:rPr>
          <w:rFonts w:ascii="Calibri" w:eastAsia="Times New Roman" w:hAnsi="Calibri" w:cs="Calibri"/>
          <w:szCs w:val="24"/>
          <w:vertAlign w:val="superscript"/>
        </w:rPr>
        <w:footnoteReference w:id="85"/>
      </w:r>
      <w:r w:rsidRPr="00B4570B">
        <w:rPr>
          <w:rFonts w:ascii="Calibri" w:eastAsia="Times New Roman" w:hAnsi="Calibri" w:cs="Calibri"/>
          <w:szCs w:val="24"/>
        </w:rPr>
        <w:t xml:space="preserve"> Organization commitment is one of the strongest predictors of turnover intention and turnover among child welfare workers.</w:t>
      </w:r>
      <w:r w:rsidRPr="00B4570B">
        <w:rPr>
          <w:rFonts w:ascii="Calibri" w:eastAsia="Times New Roman" w:hAnsi="Calibri" w:cs="Calibri"/>
          <w:szCs w:val="24"/>
          <w:vertAlign w:val="superscript"/>
        </w:rPr>
        <w:footnoteReference w:id="86"/>
      </w:r>
      <w:r w:rsidRPr="00B4570B">
        <w:rPr>
          <w:rFonts w:ascii="Calibri" w:eastAsia="Times New Roman" w:hAnsi="Calibri" w:cs="Calibri"/>
          <w:szCs w:val="24"/>
        </w:rPr>
        <w:t xml:space="preserve"> Building proficient organizational cultures is a difficult task. We will review three methods that include evidence of reduced intention-to-leave as a result. </w:t>
      </w:r>
    </w:p>
    <w:p w14:paraId="4AD2DD00" w14:textId="2BCDD378" w:rsidR="005B10F0" w:rsidRDefault="005B10F0" w:rsidP="00115BEF">
      <w:pPr>
        <w:spacing w:after="0"/>
        <w:rPr>
          <w:rFonts w:ascii="Calibri" w:eastAsia="Times New Roman" w:hAnsi="Calibri" w:cs="Calibri"/>
          <w:szCs w:val="24"/>
        </w:rPr>
      </w:pPr>
    </w:p>
    <w:p w14:paraId="1136F33A" w14:textId="7B0F6ED2" w:rsidR="00115BEF" w:rsidRPr="00115BEF" w:rsidRDefault="00B4570B" w:rsidP="00115BEF">
      <w:pPr>
        <w:pStyle w:val="Heading4"/>
        <w:spacing w:before="0" w:after="0"/>
        <w:rPr>
          <w:i w:val="0"/>
        </w:rPr>
      </w:pPr>
      <w:r w:rsidRPr="00115BEF">
        <w:rPr>
          <w:i w:val="0"/>
        </w:rPr>
        <w:t>Transformational Leadership</w:t>
      </w:r>
    </w:p>
    <w:p w14:paraId="041DA33C" w14:textId="77777777" w:rsidR="00115BEF" w:rsidRPr="00115BEF" w:rsidRDefault="00115BEF" w:rsidP="00115BEF">
      <w:pPr>
        <w:spacing w:after="0"/>
        <w:rPr>
          <w:rFonts w:ascii="Calibri" w:eastAsia="Times New Roman" w:hAnsi="Calibri" w:cs="Calibri"/>
          <w:szCs w:val="24"/>
        </w:rPr>
      </w:pPr>
      <w:bookmarkStart w:id="23" w:name="_Toc44274841"/>
      <w:bookmarkStart w:id="24" w:name="_Toc44597243"/>
      <w:bookmarkStart w:id="25" w:name="_Toc44597392"/>
      <w:bookmarkStart w:id="26" w:name="_Toc44609563"/>
    </w:p>
    <w:p w14:paraId="000BD9E4" w14:textId="7564A629" w:rsidR="00115BEF" w:rsidRPr="00115BEF" w:rsidRDefault="00115BEF" w:rsidP="00115BEF">
      <w:pPr>
        <w:spacing w:after="0"/>
        <w:rPr>
          <w:rFonts w:ascii="Calibri" w:eastAsia="Times New Roman" w:hAnsi="Calibri" w:cs="Calibri"/>
          <w:b/>
          <w:bCs/>
          <w:szCs w:val="24"/>
        </w:rPr>
      </w:pPr>
      <w:r w:rsidRPr="00115BEF">
        <w:rPr>
          <w:rFonts w:ascii="Calibri" w:eastAsia="Times New Roman" w:hAnsi="Calibri" w:cs="Calibri"/>
          <w:szCs w:val="24"/>
        </w:rPr>
        <w:t>Transformational leadership is "leadership behavior that influences [employees] to transcend their individual self-interests for the collective good of their organizations," while also addressing individual need.</w:t>
      </w:r>
      <w:r w:rsidRPr="00115BEF">
        <w:rPr>
          <w:rFonts w:ascii="Calibri" w:eastAsia="Times New Roman" w:hAnsi="Calibri" w:cs="Calibri"/>
          <w:szCs w:val="24"/>
          <w:vertAlign w:val="superscript"/>
        </w:rPr>
        <w:footnoteReference w:id="87"/>
      </w:r>
      <w:r w:rsidRPr="00115BEF">
        <w:rPr>
          <w:rFonts w:ascii="Calibri" w:eastAsia="Times New Roman" w:hAnsi="Calibri" w:cs="Calibri"/>
          <w:szCs w:val="24"/>
        </w:rPr>
        <w:t xml:space="preserve"> </w:t>
      </w:r>
      <w:bookmarkStart w:id="27" w:name="OLE_LINK11"/>
      <w:bookmarkStart w:id="28" w:name="OLE_LINK12"/>
      <w:r w:rsidRPr="00115BEF">
        <w:rPr>
          <w:rFonts w:ascii="Calibri" w:eastAsia="Times New Roman" w:hAnsi="Calibri" w:cs="Calibri"/>
          <w:szCs w:val="24"/>
        </w:rPr>
        <w:t xml:space="preserve">Rittschof and Fortunato </w:t>
      </w:r>
      <w:bookmarkEnd w:id="27"/>
      <w:bookmarkEnd w:id="28"/>
      <w:r w:rsidRPr="00115BEF">
        <w:rPr>
          <w:rFonts w:ascii="Calibri" w:eastAsia="Times New Roman" w:hAnsi="Calibri" w:cs="Calibri"/>
          <w:szCs w:val="24"/>
        </w:rPr>
        <w:t>examined the relationship between transformational leadership, organizational commitment, and intention-to-leave. Among a sample of 197 caseworkers, higher ratings of transformational leadership were associated with reduced job burnout, improved organizational commitment, and reduced intent-to-quit.</w:t>
      </w:r>
      <w:r w:rsidRPr="00115BEF">
        <w:rPr>
          <w:rFonts w:ascii="Calibri" w:eastAsia="Times New Roman" w:hAnsi="Calibri" w:cs="Calibri"/>
          <w:szCs w:val="24"/>
          <w:vertAlign w:val="superscript"/>
        </w:rPr>
        <w:footnoteReference w:id="88"/>
      </w:r>
      <w:r w:rsidRPr="00115BEF">
        <w:rPr>
          <w:rFonts w:ascii="Calibri" w:eastAsia="Times New Roman" w:hAnsi="Calibri" w:cs="Calibri"/>
          <w:szCs w:val="24"/>
        </w:rPr>
        <w:t xml:space="preserve"> In a survey of 264 child welfare caseworkers in a Midwestern state, Park and Pierce analyzed the relationship between workers' intention-to-leave and </w:t>
      </w:r>
      <w:r w:rsidR="008E0555">
        <w:rPr>
          <w:rFonts w:ascii="Calibri" w:eastAsia="Times New Roman" w:hAnsi="Calibri" w:cs="Calibri"/>
          <w:szCs w:val="24"/>
        </w:rPr>
        <w:t xml:space="preserve">their </w:t>
      </w:r>
      <w:r w:rsidRPr="00115BEF">
        <w:rPr>
          <w:rFonts w:ascii="Calibri" w:eastAsia="Times New Roman" w:hAnsi="Calibri" w:cs="Calibri"/>
          <w:szCs w:val="24"/>
        </w:rPr>
        <w:t>ratings of supervisor's transformational leadership behaviors, as well as ratings of organizational climate, culture, and commitment. Within this sample, one-third of the leaders being rated participated in a leadership development training project.</w:t>
      </w:r>
      <w:r w:rsidRPr="00115BEF">
        <w:rPr>
          <w:rFonts w:ascii="Calibri" w:eastAsia="Times New Roman" w:hAnsi="Calibri" w:cs="Calibri"/>
          <w:szCs w:val="24"/>
          <w:vertAlign w:val="superscript"/>
        </w:rPr>
        <w:footnoteReference w:id="89"/>
      </w:r>
      <w:r w:rsidRPr="00115BEF">
        <w:rPr>
          <w:rFonts w:ascii="Calibri" w:eastAsia="Times New Roman" w:hAnsi="Calibri" w:cs="Calibri"/>
          <w:szCs w:val="24"/>
        </w:rPr>
        <w:t xml:space="preserve"> They found transformational leadership was directly and significantly related to decreased turnover.</w:t>
      </w:r>
      <w:bookmarkEnd w:id="23"/>
      <w:bookmarkEnd w:id="24"/>
      <w:bookmarkEnd w:id="25"/>
      <w:bookmarkEnd w:id="26"/>
    </w:p>
    <w:p w14:paraId="61B2AFEE" w14:textId="77777777" w:rsidR="00115BEF" w:rsidRPr="00115BEF" w:rsidRDefault="00115BEF" w:rsidP="00115BEF">
      <w:pPr>
        <w:spacing w:after="0"/>
        <w:rPr>
          <w:rFonts w:ascii="Calibri" w:eastAsia="Times New Roman" w:hAnsi="Calibri" w:cs="Calibri"/>
          <w:szCs w:val="24"/>
        </w:rPr>
      </w:pPr>
    </w:p>
    <w:p w14:paraId="1F142ED5" w14:textId="0718BAC8" w:rsidR="00115BEF" w:rsidRPr="00115BEF" w:rsidRDefault="003D7107" w:rsidP="00115BEF">
      <w:pPr>
        <w:pStyle w:val="Heading4"/>
        <w:spacing w:before="0" w:after="0"/>
        <w:rPr>
          <w:rFonts w:eastAsia="Times New Roman"/>
          <w:i w:val="0"/>
        </w:rPr>
      </w:pPr>
      <w:r>
        <w:rPr>
          <w:rFonts w:eastAsia="Times New Roman"/>
          <w:i w:val="0"/>
        </w:rPr>
        <w:t>D</w:t>
      </w:r>
      <w:r w:rsidR="00115BEF" w:rsidRPr="00115BEF">
        <w:rPr>
          <w:rFonts w:eastAsia="Times New Roman"/>
          <w:i w:val="0"/>
        </w:rPr>
        <w:t>esign Teams</w:t>
      </w:r>
    </w:p>
    <w:p w14:paraId="64555BAC" w14:textId="77777777" w:rsidR="00115BEF" w:rsidRPr="00115BEF" w:rsidRDefault="00115BEF" w:rsidP="00115BEF">
      <w:pPr>
        <w:spacing w:after="0"/>
        <w:rPr>
          <w:rFonts w:ascii="Calibri" w:eastAsia="Times New Roman" w:hAnsi="Calibri" w:cs="Calibri"/>
          <w:szCs w:val="24"/>
        </w:rPr>
      </w:pPr>
    </w:p>
    <w:p w14:paraId="39AABB76" w14:textId="07560EEF" w:rsidR="00115BEF" w:rsidRPr="00115BEF" w:rsidRDefault="00115BEF" w:rsidP="00115BEF">
      <w:pPr>
        <w:spacing w:after="0"/>
        <w:rPr>
          <w:rFonts w:ascii="Calibri" w:eastAsia="Times New Roman" w:hAnsi="Calibri" w:cs="Calibri"/>
          <w:szCs w:val="24"/>
        </w:rPr>
      </w:pPr>
      <w:r w:rsidRPr="00115BEF">
        <w:rPr>
          <w:rFonts w:ascii="Calibri" w:eastAsia="Times New Roman" w:hAnsi="Calibri" w:cs="Calibri"/>
          <w:szCs w:val="24"/>
        </w:rPr>
        <w:t>Another organizational intervention that strengthens organizational culture and increases worker retention is the use of design teams.</w:t>
      </w:r>
      <w:r w:rsidRPr="00115BEF">
        <w:rPr>
          <w:rFonts w:ascii="Calibri" w:eastAsia="Times New Roman" w:hAnsi="Calibri" w:cs="Calibri"/>
          <w:szCs w:val="24"/>
          <w:vertAlign w:val="superscript"/>
        </w:rPr>
        <w:footnoteReference w:id="90"/>
      </w:r>
      <w:r w:rsidRPr="00115BEF">
        <w:rPr>
          <w:rFonts w:ascii="Calibri" w:eastAsia="Times New Roman" w:hAnsi="Calibri" w:cs="Calibri"/>
          <w:szCs w:val="24"/>
        </w:rPr>
        <w:t xml:space="preserve"> </w:t>
      </w:r>
      <w:bookmarkStart w:id="29" w:name="OLE_LINK5"/>
      <w:bookmarkStart w:id="30" w:name="OLE_LINK6"/>
      <w:r w:rsidRPr="00115BEF">
        <w:rPr>
          <w:rFonts w:ascii="Calibri" w:eastAsia="Times New Roman" w:hAnsi="Calibri" w:cs="Calibri"/>
          <w:szCs w:val="24"/>
        </w:rPr>
        <w:t xml:space="preserve">A design team is a workgroup with representatives from all levels of an organization that collaborates to create a solution-focused model for organizational improvement. </w:t>
      </w:r>
      <w:bookmarkStart w:id="31" w:name="OLE_LINK43"/>
      <w:bookmarkStart w:id="32" w:name="OLE_LINK44"/>
      <w:r w:rsidRPr="00115BEF">
        <w:rPr>
          <w:rFonts w:ascii="Calibri" w:eastAsia="Times New Roman" w:hAnsi="Calibri" w:cs="Calibri"/>
          <w:szCs w:val="24"/>
        </w:rPr>
        <w:t xml:space="preserve">Design teams may be aided in this work by internal data and metrics as well as the assistance of an external facilitator. </w:t>
      </w:r>
      <w:bookmarkEnd w:id="29"/>
      <w:bookmarkEnd w:id="30"/>
      <w:r w:rsidRPr="00115BEF">
        <w:rPr>
          <w:rFonts w:ascii="Calibri" w:eastAsia="Times New Roman" w:hAnsi="Calibri" w:cs="Calibri"/>
          <w:szCs w:val="24"/>
        </w:rPr>
        <w:t>For guidance on how to implement a design team, numerous resources are available.</w:t>
      </w:r>
      <w:bookmarkEnd w:id="31"/>
      <w:bookmarkEnd w:id="32"/>
      <w:r w:rsidRPr="00115BEF">
        <w:rPr>
          <w:rFonts w:ascii="Calibri" w:eastAsia="Times New Roman" w:hAnsi="Calibri" w:cs="Calibri"/>
          <w:szCs w:val="24"/>
        </w:rPr>
        <w:t xml:space="preserve"> Two recent publications may provide useful starting points, including a </w:t>
      </w:r>
      <w:r w:rsidR="00DD3876">
        <w:rPr>
          <w:rFonts w:ascii="Calibri" w:eastAsia="Times New Roman" w:hAnsi="Calibri" w:cs="Calibri"/>
          <w:szCs w:val="24"/>
        </w:rPr>
        <w:t>publication</w:t>
      </w:r>
      <w:r w:rsidRPr="00115BEF">
        <w:rPr>
          <w:rFonts w:ascii="Calibri" w:eastAsia="Times New Roman" w:hAnsi="Calibri" w:cs="Calibri"/>
          <w:szCs w:val="24"/>
        </w:rPr>
        <w:t xml:space="preserve"> about building effective child welfare teams and a resource from the Annie E. Casey Foundation.</w:t>
      </w:r>
      <w:r w:rsidRPr="00115BEF">
        <w:rPr>
          <w:rFonts w:ascii="Calibri" w:eastAsia="Times New Roman" w:hAnsi="Calibri" w:cs="Calibri"/>
          <w:szCs w:val="24"/>
          <w:vertAlign w:val="superscript"/>
        </w:rPr>
        <w:footnoteReference w:id="91"/>
      </w:r>
    </w:p>
    <w:p w14:paraId="65E67FDF" w14:textId="77777777" w:rsidR="00115BEF" w:rsidRPr="00115BEF" w:rsidRDefault="00115BEF" w:rsidP="00115BEF">
      <w:pPr>
        <w:spacing w:after="0"/>
        <w:rPr>
          <w:rFonts w:ascii="Calibri" w:eastAsia="Times New Roman" w:hAnsi="Calibri" w:cs="Calibri"/>
          <w:szCs w:val="24"/>
        </w:rPr>
      </w:pPr>
    </w:p>
    <w:p w14:paraId="56C47E54" w14:textId="442E56CA" w:rsidR="00115BEF" w:rsidRPr="00115BEF" w:rsidRDefault="00115BEF" w:rsidP="00115BEF">
      <w:pPr>
        <w:spacing w:after="0"/>
        <w:rPr>
          <w:rFonts w:ascii="Calibri" w:eastAsia="Times New Roman" w:hAnsi="Calibri" w:cs="Calibri"/>
          <w:szCs w:val="24"/>
        </w:rPr>
      </w:pPr>
      <w:r w:rsidRPr="00115BEF">
        <w:rPr>
          <w:rFonts w:ascii="Calibri" w:eastAsia="Times New Roman" w:hAnsi="Calibri" w:cs="Calibri"/>
          <w:szCs w:val="24"/>
        </w:rPr>
        <w:t>The results of several studies show that design teams have promising results for improving organizational climate and job satisfaction, as well as reducing workers’ intention-to-leave.</w:t>
      </w:r>
      <w:r w:rsidRPr="00115BEF">
        <w:rPr>
          <w:rFonts w:ascii="Calibri" w:eastAsia="Times New Roman" w:hAnsi="Calibri" w:cs="Calibri"/>
          <w:szCs w:val="24"/>
          <w:vertAlign w:val="superscript"/>
        </w:rPr>
        <w:footnoteReference w:id="92"/>
      </w:r>
      <w:r w:rsidRPr="00115BEF">
        <w:rPr>
          <w:rFonts w:ascii="Calibri" w:eastAsia="Times New Roman" w:hAnsi="Calibri" w:cs="Calibri"/>
          <w:szCs w:val="24"/>
        </w:rPr>
        <w:t xml:space="preserve"> For example, Strolin-Goltzmann</w:t>
      </w:r>
      <w:r w:rsidR="00196AE9">
        <w:rPr>
          <w:rFonts w:ascii="Calibri" w:eastAsia="Times New Roman" w:hAnsi="Calibri" w:cs="Calibri"/>
          <w:szCs w:val="24"/>
        </w:rPr>
        <w:t xml:space="preserve"> </w:t>
      </w:r>
      <w:r w:rsidRPr="00115BEF">
        <w:rPr>
          <w:rFonts w:ascii="Calibri" w:eastAsia="Times New Roman" w:hAnsi="Calibri" w:cs="Calibri"/>
          <w:szCs w:val="24"/>
        </w:rPr>
        <w:t>found that, compared to control group, workers in Design Team agencies had significantly higher job commitment, lower burnout, and lower intention-to-leave.</w:t>
      </w:r>
      <w:r w:rsidR="00892CDB">
        <w:rPr>
          <w:rStyle w:val="FootnoteReference"/>
          <w:rFonts w:ascii="Calibri" w:eastAsia="Times New Roman" w:hAnsi="Calibri" w:cs="Calibri"/>
          <w:szCs w:val="24"/>
        </w:rPr>
        <w:footnoteReference w:id="93"/>
      </w:r>
    </w:p>
    <w:p w14:paraId="4B2F4112" w14:textId="77777777" w:rsidR="00115BEF" w:rsidRPr="00115BEF" w:rsidRDefault="00115BEF" w:rsidP="00115BEF">
      <w:pPr>
        <w:spacing w:after="0"/>
        <w:rPr>
          <w:rFonts w:ascii="Calibri" w:eastAsia="Times New Roman" w:hAnsi="Calibri" w:cs="Calibri"/>
          <w:szCs w:val="24"/>
        </w:rPr>
      </w:pPr>
    </w:p>
    <w:p w14:paraId="6EE0203C" w14:textId="1315F570" w:rsidR="00115BEF" w:rsidRPr="00115BEF" w:rsidRDefault="003D7107" w:rsidP="00115BEF">
      <w:pPr>
        <w:pStyle w:val="Heading4"/>
        <w:spacing w:before="0" w:after="0"/>
        <w:rPr>
          <w:rFonts w:eastAsia="Times New Roman"/>
          <w:i w:val="0"/>
        </w:rPr>
      </w:pPr>
      <w:r>
        <w:rPr>
          <w:rFonts w:eastAsia="Times New Roman"/>
          <w:i w:val="0"/>
        </w:rPr>
        <w:t>T</w:t>
      </w:r>
      <w:r w:rsidR="00115BEF" w:rsidRPr="00115BEF">
        <w:rPr>
          <w:rFonts w:eastAsia="Times New Roman"/>
          <w:i w:val="0"/>
        </w:rPr>
        <w:t xml:space="preserve">he Availability, Responsiveness, and Continuity (ARC) Organizational Intervention </w:t>
      </w:r>
    </w:p>
    <w:p w14:paraId="27418FB1" w14:textId="77777777" w:rsidR="00115BEF" w:rsidRPr="00115BEF" w:rsidRDefault="00115BEF" w:rsidP="00115BEF">
      <w:pPr>
        <w:spacing w:after="0"/>
        <w:rPr>
          <w:rFonts w:ascii="Calibri" w:eastAsia="Times New Roman" w:hAnsi="Calibri" w:cs="Calibri"/>
          <w:szCs w:val="24"/>
        </w:rPr>
      </w:pPr>
    </w:p>
    <w:p w14:paraId="19323060" w14:textId="1B0D9B6B" w:rsidR="00115BEF" w:rsidRPr="00115BEF" w:rsidRDefault="00115BEF" w:rsidP="00115BEF">
      <w:pPr>
        <w:spacing w:after="0"/>
        <w:rPr>
          <w:rFonts w:ascii="Calibri" w:eastAsia="Times New Roman" w:hAnsi="Calibri" w:cs="Calibri"/>
          <w:szCs w:val="24"/>
        </w:rPr>
      </w:pPr>
      <w:r w:rsidRPr="00115BEF">
        <w:rPr>
          <w:rFonts w:ascii="Calibri" w:eastAsia="Times New Roman" w:hAnsi="Calibri" w:cs="Calibri"/>
          <w:szCs w:val="24"/>
        </w:rPr>
        <w:t>The third organizational intervention that may reduce employee turnover is the Availability, Responsiveness, and Continuity (ARC) organizational intervention.</w:t>
      </w:r>
      <w:r w:rsidRPr="00115BEF">
        <w:rPr>
          <w:rFonts w:ascii="Calibri" w:eastAsia="Times New Roman" w:hAnsi="Calibri" w:cs="Calibri"/>
          <w:szCs w:val="24"/>
          <w:vertAlign w:val="superscript"/>
        </w:rPr>
        <w:t xml:space="preserve"> </w:t>
      </w:r>
      <w:r w:rsidRPr="00115BEF">
        <w:rPr>
          <w:rFonts w:ascii="Calibri" w:eastAsia="Times New Roman" w:hAnsi="Calibri" w:cs="Calibri"/>
          <w:szCs w:val="24"/>
        </w:rPr>
        <w:t>Developed by Charles Glisson and colleagues, ARC aims to improve organizational culture through a structured program that builds case management teams; these teams then work to serve clients by identifying barriers in service innovation and effectiveness. The program is designed to be implemented in a 1 to 3 year period and requires agency-wide training and specially trained team leaders.</w:t>
      </w:r>
      <w:r w:rsidRPr="00115BEF">
        <w:rPr>
          <w:rFonts w:ascii="Calibri" w:eastAsia="Times New Roman" w:hAnsi="Calibri" w:cs="Calibri"/>
          <w:szCs w:val="24"/>
          <w:vertAlign w:val="superscript"/>
        </w:rPr>
        <w:footnoteReference w:id="94"/>
      </w:r>
      <w:r w:rsidRPr="00115BEF">
        <w:rPr>
          <w:rFonts w:ascii="Calibri" w:eastAsia="Times New Roman" w:hAnsi="Calibri" w:cs="Calibri"/>
          <w:szCs w:val="24"/>
        </w:rPr>
        <w:t xml:space="preserve"> Glisson and colleagues conducted several randomized controlled trials on the effects of implementing </w:t>
      </w:r>
      <w:r w:rsidR="00510A33">
        <w:rPr>
          <w:rFonts w:ascii="Calibri" w:eastAsia="Times New Roman" w:hAnsi="Calibri" w:cs="Calibri"/>
          <w:szCs w:val="24"/>
        </w:rPr>
        <w:t xml:space="preserve">the </w:t>
      </w:r>
      <w:r w:rsidRPr="00115BEF">
        <w:rPr>
          <w:rFonts w:ascii="Calibri" w:eastAsia="Times New Roman" w:hAnsi="Calibri" w:cs="Calibri"/>
          <w:szCs w:val="24"/>
        </w:rPr>
        <w:t>ARC organizational interventions in youth-serving mental health and juvenile justice agencies.</w:t>
      </w:r>
      <w:r w:rsidRPr="00115BEF">
        <w:rPr>
          <w:rFonts w:ascii="Calibri" w:eastAsia="Times New Roman" w:hAnsi="Calibri" w:cs="Calibri"/>
          <w:szCs w:val="24"/>
          <w:vertAlign w:val="superscript"/>
        </w:rPr>
        <w:footnoteReference w:id="95"/>
      </w:r>
      <w:r w:rsidRPr="00115BEF">
        <w:rPr>
          <w:rFonts w:ascii="Calibri" w:eastAsia="Times New Roman" w:hAnsi="Calibri" w:cs="Calibri"/>
          <w:szCs w:val="24"/>
        </w:rPr>
        <w:t xml:space="preserve"> The results of these studies show positive results of implementing ARC for organizational climate and culture ratings compared to control group participants. </w:t>
      </w:r>
    </w:p>
    <w:p w14:paraId="357699C2" w14:textId="77777777" w:rsidR="00115BEF" w:rsidRPr="00115BEF" w:rsidRDefault="00115BEF" w:rsidP="00115BEF">
      <w:pPr>
        <w:spacing w:after="0"/>
        <w:rPr>
          <w:rFonts w:ascii="Calibri" w:eastAsia="Times New Roman" w:hAnsi="Calibri" w:cs="Calibri"/>
          <w:szCs w:val="24"/>
        </w:rPr>
      </w:pPr>
    </w:p>
    <w:p w14:paraId="21F57AE0" w14:textId="4EB702E1" w:rsidR="00115BEF" w:rsidRDefault="00115BEF" w:rsidP="00A93769">
      <w:pPr>
        <w:spacing w:after="0"/>
        <w:rPr>
          <w:rFonts w:ascii="Calibri" w:eastAsia="Times New Roman" w:hAnsi="Calibri" w:cs="Calibri"/>
          <w:szCs w:val="24"/>
        </w:rPr>
      </w:pPr>
      <w:r w:rsidRPr="00115BEF">
        <w:rPr>
          <w:rFonts w:ascii="Calibri" w:eastAsia="Times New Roman" w:hAnsi="Calibri" w:cs="Calibri"/>
          <w:szCs w:val="24"/>
        </w:rPr>
        <w:t xml:space="preserve">One of the first randomized controlled trials on the effects of ARC was conducted with 235 child welfare caseworkers from 26 case management teams in a Southeastern state. Compared to the control group, </w:t>
      </w:r>
      <w:r w:rsidR="00510A33">
        <w:rPr>
          <w:rFonts w:ascii="Calibri" w:eastAsia="Times New Roman" w:hAnsi="Calibri" w:cs="Calibri"/>
          <w:szCs w:val="24"/>
        </w:rPr>
        <w:t>staff</w:t>
      </w:r>
      <w:r w:rsidRPr="00115BEF">
        <w:rPr>
          <w:rFonts w:ascii="Calibri" w:eastAsia="Times New Roman" w:hAnsi="Calibri" w:cs="Calibri"/>
          <w:szCs w:val="24"/>
        </w:rPr>
        <w:t xml:space="preserve"> in the ARC program demonstrated lower turnover and lower ratings of role conflict, role overload, depersonalization, and emotional exhaustion at the end of the 1-year intervention period.</w:t>
      </w:r>
      <w:r w:rsidRPr="00115BEF">
        <w:rPr>
          <w:rFonts w:ascii="Calibri" w:eastAsia="Times New Roman" w:hAnsi="Calibri" w:cs="Calibri"/>
          <w:szCs w:val="24"/>
          <w:vertAlign w:val="superscript"/>
        </w:rPr>
        <w:footnoteReference w:id="96"/>
      </w:r>
      <w:r w:rsidRPr="00115BEF">
        <w:rPr>
          <w:rFonts w:ascii="Calibri" w:eastAsia="Times New Roman" w:hAnsi="Calibri" w:cs="Calibri"/>
          <w:szCs w:val="24"/>
        </w:rPr>
        <w:t xml:space="preserve"> In a follow-up randomized controlled trial with 197 clinicians from 26 programs providing mental health services to child welfare-involved youth, Glisson and colleagues found significant intervention effects on worker organization ratings over an 18-month intervention period. Compared to the control group, ARC participants reported less rigid, less centralized, and less apathetic organizational cultures.</w:t>
      </w:r>
      <w:r w:rsidRPr="00115BEF">
        <w:rPr>
          <w:rFonts w:ascii="Calibri" w:eastAsia="Times New Roman" w:hAnsi="Calibri" w:cs="Calibri"/>
          <w:szCs w:val="24"/>
          <w:vertAlign w:val="superscript"/>
        </w:rPr>
        <w:footnoteReference w:id="97"/>
      </w:r>
      <w:r w:rsidRPr="00115BEF">
        <w:rPr>
          <w:rFonts w:ascii="Calibri" w:eastAsia="Times New Roman" w:hAnsi="Calibri" w:cs="Calibri"/>
          <w:szCs w:val="24"/>
        </w:rPr>
        <w:t xml:space="preserve"> The ARC group also experienced more engaged and functional organizational climates with less role conflict, as well as better work attitudes (morale, satisfaction, commitment), compared to the control group. Though the ARC program is intensive</w:t>
      </w:r>
      <w:r w:rsidR="00510A33">
        <w:rPr>
          <w:rFonts w:ascii="Calibri" w:eastAsia="Times New Roman" w:hAnsi="Calibri" w:cs="Calibri"/>
          <w:szCs w:val="24"/>
        </w:rPr>
        <w:t xml:space="preserve"> and it has not been linked specifically to worker retention</w:t>
      </w:r>
      <w:r w:rsidRPr="00115BEF">
        <w:rPr>
          <w:rFonts w:ascii="Calibri" w:eastAsia="Times New Roman" w:hAnsi="Calibri" w:cs="Calibri"/>
          <w:szCs w:val="24"/>
        </w:rPr>
        <w:t xml:space="preserve">, the available evidence suggests it may be effective at enhancing organizational culture </w:t>
      </w:r>
      <w:r w:rsidR="00510A33">
        <w:rPr>
          <w:rFonts w:ascii="Calibri" w:eastAsia="Times New Roman" w:hAnsi="Calibri" w:cs="Calibri"/>
          <w:szCs w:val="24"/>
        </w:rPr>
        <w:t>as well as red</w:t>
      </w:r>
      <w:r w:rsidRPr="00115BEF">
        <w:rPr>
          <w:rFonts w:ascii="Calibri" w:eastAsia="Times New Roman" w:hAnsi="Calibri" w:cs="Calibri"/>
          <w:szCs w:val="24"/>
        </w:rPr>
        <w:t xml:space="preserve">ucing factors associated with turnover. </w:t>
      </w:r>
    </w:p>
    <w:p w14:paraId="69AFEC7F" w14:textId="10DBD8FF" w:rsidR="00E92ACD" w:rsidRDefault="00E92ACD" w:rsidP="00A93769">
      <w:pPr>
        <w:spacing w:after="0"/>
        <w:rPr>
          <w:rFonts w:ascii="Calibri" w:eastAsia="Times New Roman" w:hAnsi="Calibri" w:cs="Calibri"/>
          <w:szCs w:val="24"/>
        </w:rPr>
      </w:pPr>
    </w:p>
    <w:p w14:paraId="7F4D27C9" w14:textId="77777777" w:rsidR="005A54AF" w:rsidRDefault="005A54AF">
      <w:pPr>
        <w:rPr>
          <w:rFonts w:ascii="Calibri" w:eastAsia="Times New Roman" w:hAnsi="Calibri" w:cs="Calibri"/>
          <w:szCs w:val="24"/>
        </w:rPr>
      </w:pPr>
      <w:r>
        <w:rPr>
          <w:rFonts w:ascii="Calibri" w:eastAsia="Times New Roman" w:hAnsi="Calibri" w:cs="Calibri"/>
          <w:szCs w:val="24"/>
        </w:rPr>
        <w:br w:type="page"/>
      </w:r>
    </w:p>
    <w:p w14:paraId="17806B5F" w14:textId="77777777" w:rsidR="005A54AF" w:rsidRDefault="005A54AF" w:rsidP="005D02A7">
      <w:pPr>
        <w:pStyle w:val="Heading1"/>
        <w:spacing w:before="0" w:after="0"/>
      </w:pPr>
      <w:bookmarkStart w:id="33" w:name="_Toc52403570"/>
      <w:r>
        <w:t>Chapter 3:  Child Welfare Employer Survey</w:t>
      </w:r>
      <w:bookmarkEnd w:id="33"/>
    </w:p>
    <w:p w14:paraId="181FC5B4" w14:textId="77777777" w:rsidR="005A54AF" w:rsidRDefault="005A54AF" w:rsidP="005D02A7">
      <w:pPr>
        <w:spacing w:after="0"/>
      </w:pPr>
    </w:p>
    <w:p w14:paraId="116FA4AD" w14:textId="77777777" w:rsidR="00574EE2" w:rsidRDefault="00574EE2" w:rsidP="005D02A7">
      <w:pPr>
        <w:spacing w:after="0"/>
      </w:pPr>
    </w:p>
    <w:p w14:paraId="6C1622CC" w14:textId="7DD76E97" w:rsidR="00574EE2" w:rsidRDefault="00574EE2" w:rsidP="005D02A7">
      <w:pPr>
        <w:pStyle w:val="Heading2"/>
        <w:spacing w:before="0" w:after="0"/>
      </w:pPr>
      <w:bookmarkStart w:id="34" w:name="_Toc52403571"/>
      <w:r>
        <w:t>3.1</w:t>
      </w:r>
      <w:r>
        <w:tab/>
        <w:t>Survey Methods</w:t>
      </w:r>
      <w:bookmarkEnd w:id="34"/>
    </w:p>
    <w:p w14:paraId="4CBAA2BF" w14:textId="77777777" w:rsidR="00181317" w:rsidRPr="00181317" w:rsidRDefault="00181317" w:rsidP="005D02A7">
      <w:pPr>
        <w:spacing w:after="0"/>
      </w:pPr>
    </w:p>
    <w:p w14:paraId="68B88B9E" w14:textId="77777777" w:rsidR="00A76C8C" w:rsidRDefault="00574EE2" w:rsidP="005D02A7">
      <w:pPr>
        <w:spacing w:after="0"/>
      </w:pPr>
      <w:r>
        <w:t xml:space="preserve">DCFS provided </w:t>
      </w:r>
      <w:r w:rsidR="00A76C8C">
        <w:t xml:space="preserve">names and email addresses </w:t>
      </w:r>
      <w:r>
        <w:t>for 94 individuals representing 120 programs or organizations</w:t>
      </w:r>
      <w:r w:rsidR="00A76C8C">
        <w:t xml:space="preserve">; </w:t>
      </w:r>
      <w:r>
        <w:t xml:space="preserve">the survey was </w:t>
      </w:r>
      <w:r w:rsidR="00A76C8C">
        <w:t xml:space="preserve">emailed </w:t>
      </w:r>
      <w:r>
        <w:t xml:space="preserve">to these individuals on June 3, 2020. Reminder emails were sent on June 11 and June 16. Following discussion in a taskforce meeting about the response rate, Deb McCarrel from the Illinois Collaboration on Children and Youth (ICOY) reviewed the list of contact information DCFS provided and added alternative emails for some contacts. This new list was used by Dr. Tamara Fuller, director of the Children and Family Research Center, to send out personal reminder emails to each individual on July 7. In addition, Dr. Michael Braun, research specialist at the Children and Family Research Center, personally called each individual who had not yet responded on July 21. The survey was closed on July 27, </w:t>
      </w:r>
      <w:r w:rsidR="00A76C8C">
        <w:t xml:space="preserve">2020. </w:t>
      </w:r>
    </w:p>
    <w:p w14:paraId="7C399D7B" w14:textId="77777777" w:rsidR="00A76C8C" w:rsidRDefault="00A76C8C" w:rsidP="001C58C3">
      <w:pPr>
        <w:spacing w:after="0"/>
      </w:pPr>
    </w:p>
    <w:p w14:paraId="4A641087" w14:textId="4B57ED17" w:rsidR="00574EE2" w:rsidRDefault="00A76C8C" w:rsidP="001C58C3">
      <w:pPr>
        <w:pStyle w:val="Heading2"/>
        <w:spacing w:before="0" w:after="0"/>
      </w:pPr>
      <w:bookmarkStart w:id="35" w:name="_Toc52403572"/>
      <w:r>
        <w:t>3.2</w:t>
      </w:r>
      <w:r>
        <w:tab/>
        <w:t>Survey Results</w:t>
      </w:r>
      <w:bookmarkEnd w:id="35"/>
      <w:r>
        <w:t xml:space="preserve"> </w:t>
      </w:r>
      <w:r w:rsidR="00574EE2">
        <w:t xml:space="preserve"> </w:t>
      </w:r>
    </w:p>
    <w:p w14:paraId="7BDAD871" w14:textId="77777777" w:rsidR="00574EE2" w:rsidRDefault="00574EE2" w:rsidP="001C58C3">
      <w:pPr>
        <w:spacing w:after="0"/>
      </w:pPr>
    </w:p>
    <w:p w14:paraId="15AE593F" w14:textId="72E49F65" w:rsidR="00574EE2" w:rsidRDefault="001C58C3" w:rsidP="000E67D3">
      <w:pPr>
        <w:spacing w:after="0"/>
      </w:pPr>
      <w:r>
        <w:t xml:space="preserve">Survey </w:t>
      </w:r>
      <w:r w:rsidR="00574EE2">
        <w:t xml:space="preserve">responses </w:t>
      </w:r>
      <w:r>
        <w:t xml:space="preserve">were received </w:t>
      </w:r>
      <w:r w:rsidR="00574EE2">
        <w:t xml:space="preserve">from 32 employers who provided information on 49 </w:t>
      </w:r>
      <w:r>
        <w:t>o</w:t>
      </w:r>
      <w:r w:rsidR="00574EE2">
        <w:t xml:space="preserve">rganizations and programs, for a response rate of 34% for individuals and 41% for programs/organizations. The employers surveyed reported what region(s) their organizations/programs served, and 20 reported serving the Cook Region, 16 the Northern Region, 27 the Central Region, and 15 the Southern Region. </w:t>
      </w:r>
    </w:p>
    <w:p w14:paraId="5CA27278" w14:textId="77777777" w:rsidR="00574EE2" w:rsidRDefault="00574EE2" w:rsidP="000E67D3">
      <w:pPr>
        <w:spacing w:after="0"/>
      </w:pPr>
    </w:p>
    <w:p w14:paraId="5F0E425A" w14:textId="233CCB0D" w:rsidR="00574EE2" w:rsidRDefault="00574EE2" w:rsidP="000E67D3">
      <w:pPr>
        <w:spacing w:after="0"/>
      </w:pPr>
      <w:r>
        <w:t>On average, the organizations employed 18 caseworkers and 4 supervisors, with an average ratio of caseworkers to supervisors at 3.5 to 1</w:t>
      </w:r>
      <w:r w:rsidR="0099287E">
        <w:t xml:space="preserve"> </w:t>
      </w:r>
      <w:r>
        <w:t>(</w:t>
      </w:r>
      <w:r w:rsidR="0099287E">
        <w:t xml:space="preserve">see </w:t>
      </w:r>
      <w:r>
        <w:t xml:space="preserve">Table </w:t>
      </w:r>
      <w:r w:rsidR="0099287E">
        <w:t>3</w:t>
      </w:r>
      <w:r>
        <w:t>)</w:t>
      </w:r>
      <w:r w:rsidR="0099287E">
        <w:t>.</w:t>
      </w:r>
      <w:r>
        <w:t xml:space="preserve"> Organizations varied widely in size, employing between 1 and 153 caseworkers and between 1 and 31 supervisors. The median number of caseworkers was 6 and the median number of supervisors was 2. Three-quarters of the organizations employed fewer than 20 caseworkers and 5 supervisors. </w:t>
      </w:r>
      <w:r w:rsidR="0099287E">
        <w:t xml:space="preserve">Sixty-two percent </w:t>
      </w:r>
      <w:r>
        <w:t xml:space="preserve">of caseworkers and 77% of supervisors had been in their current positions for 18 months or more. </w:t>
      </w:r>
    </w:p>
    <w:p w14:paraId="411471F4" w14:textId="77777777" w:rsidR="00574EE2" w:rsidRDefault="00574EE2" w:rsidP="000E67D3">
      <w:pPr>
        <w:spacing w:after="0"/>
      </w:pPr>
    </w:p>
    <w:p w14:paraId="48646FC3" w14:textId="09A1A0D8" w:rsidR="00574EE2" w:rsidRDefault="00574EE2" w:rsidP="000E67D3">
      <w:pPr>
        <w:spacing w:after="0"/>
      </w:pPr>
      <w:r>
        <w:t xml:space="preserve">Overall, there were few vacant caseworker and supervisor positions. Employers reported an average of 2.1 </w:t>
      </w:r>
      <w:r w:rsidR="000E67D3">
        <w:t xml:space="preserve">vacant positions </w:t>
      </w:r>
      <w:r>
        <w:t xml:space="preserve">for caseworkers, with 24 of 48 programs/organizations reporting no open positions, 18 organizations </w:t>
      </w:r>
      <w:r w:rsidR="0022741B">
        <w:t xml:space="preserve">reporting </w:t>
      </w:r>
      <w:r>
        <w:t>between 1 and 4 open positions, and 6 organizations reporting between 5 and 20 open positions. Employers reported an average of 0.5 openings for supervisors, with 32 of 48 programs/organizations reporting no open supervisor positions, 10 reporting 1 open position, 3 reporting 2 open positions, and 1 reporting 6 open positions.</w:t>
      </w:r>
    </w:p>
    <w:p w14:paraId="502068AD" w14:textId="77777777" w:rsidR="00574EE2" w:rsidRDefault="00574EE2" w:rsidP="000E67D3">
      <w:pPr>
        <w:spacing w:after="0"/>
      </w:pPr>
    </w:p>
    <w:p w14:paraId="065C90B7" w14:textId="42F7E727" w:rsidR="00574EE2" w:rsidRDefault="00574EE2" w:rsidP="000E67D3">
      <w:pPr>
        <w:spacing w:after="0"/>
      </w:pPr>
      <w:r>
        <w:t xml:space="preserve">Employers were asked to provide salary information including average, minimum, and maximum current salaries for caseworkers and supervisors. On average, caseworkers made about $37,000 per year, with a few positions paying less than $20,000 a year. The highest reported caseworker salary was about $59,000. Supervisors </w:t>
      </w:r>
      <w:r w:rsidR="0022741B">
        <w:t>ea</w:t>
      </w:r>
      <w:r>
        <w:t>rn</w:t>
      </w:r>
      <w:r w:rsidR="0022741B">
        <w:t>ed</w:t>
      </w:r>
      <w:r>
        <w:t xml:space="preserve"> about $51,000 a year on average. The highest reported supervisor salary was $100,000 per year. </w:t>
      </w:r>
    </w:p>
    <w:p w14:paraId="2828641F" w14:textId="77777777" w:rsidR="00574EE2" w:rsidRDefault="00574EE2" w:rsidP="000E67D3">
      <w:pPr>
        <w:spacing w:after="0"/>
      </w:pPr>
    </w:p>
    <w:p w14:paraId="3095B01C" w14:textId="77777777" w:rsidR="00574EE2" w:rsidRDefault="00574EE2" w:rsidP="000E67D3">
      <w:pPr>
        <w:spacing w:after="0"/>
      </w:pPr>
      <w:r>
        <w:t xml:space="preserve">Employers were asked to calculate turnover rate in their organization using the following formula: take the number of employees who left in the last year, divide that number by the average number of workers, and then multiple the result by 100. For example, if 5 caseworkers left in the past year out of an average of 20 caseworkers, then the turnover rate would be 5 / 20 * 100 = 25%. Average turnover rate for caseworkers was 24.5%, with values ranging from 0% to 66%. Average supervisor turnover rate was 13.3%, with values ranging from 0 to 100%. </w:t>
      </w:r>
    </w:p>
    <w:p w14:paraId="7991FA82" w14:textId="77777777" w:rsidR="00574EE2" w:rsidRDefault="00574EE2" w:rsidP="000E67D3">
      <w:pPr>
        <w:spacing w:after="0"/>
      </w:pPr>
    </w:p>
    <w:p w14:paraId="70445358" w14:textId="44825264" w:rsidR="00574EE2" w:rsidRPr="00FD3B78" w:rsidRDefault="00574EE2" w:rsidP="000E67D3">
      <w:pPr>
        <w:spacing w:after="0"/>
        <w:rPr>
          <w:b/>
          <w:bCs/>
        </w:rPr>
      </w:pPr>
      <w:r w:rsidRPr="00FD3B78">
        <w:rPr>
          <w:b/>
          <w:bCs/>
        </w:rPr>
        <w:t xml:space="preserve">Table </w:t>
      </w:r>
      <w:r>
        <w:rPr>
          <w:b/>
          <w:bCs/>
        </w:rPr>
        <w:t>3</w:t>
      </w:r>
      <w:r w:rsidRPr="00FD3B78">
        <w:rPr>
          <w:b/>
          <w:bCs/>
        </w:rPr>
        <w:t>. Summary of Employer Survey Responses</w:t>
      </w:r>
    </w:p>
    <w:tbl>
      <w:tblPr>
        <w:tblStyle w:val="TableGrid"/>
        <w:tblW w:w="0" w:type="auto"/>
        <w:tblLook w:val="04A0" w:firstRow="1" w:lastRow="0" w:firstColumn="1" w:lastColumn="0" w:noHBand="0" w:noVBand="1"/>
      </w:tblPr>
      <w:tblGrid>
        <w:gridCol w:w="1870"/>
        <w:gridCol w:w="2265"/>
        <w:gridCol w:w="1800"/>
        <w:gridCol w:w="1545"/>
        <w:gridCol w:w="1870"/>
      </w:tblGrid>
      <w:tr w:rsidR="00574EE2" w14:paraId="1662A160" w14:textId="77777777" w:rsidTr="006044F1">
        <w:tc>
          <w:tcPr>
            <w:tcW w:w="1870" w:type="dxa"/>
          </w:tcPr>
          <w:p w14:paraId="083E5C92" w14:textId="43942A8C" w:rsidR="00574EE2" w:rsidRPr="00A15BC0" w:rsidRDefault="00574EE2" w:rsidP="006044F1">
            <w:pPr>
              <w:jc w:val="center"/>
              <w:rPr>
                <w:b/>
                <w:bCs/>
              </w:rPr>
            </w:pPr>
          </w:p>
        </w:tc>
        <w:tc>
          <w:tcPr>
            <w:tcW w:w="2265" w:type="dxa"/>
          </w:tcPr>
          <w:p w14:paraId="5B71FB6B" w14:textId="77777777" w:rsidR="00574EE2" w:rsidRPr="00A15BC0" w:rsidRDefault="00574EE2" w:rsidP="006044F1">
            <w:pPr>
              <w:jc w:val="center"/>
              <w:rPr>
                <w:b/>
                <w:bCs/>
              </w:rPr>
            </w:pPr>
            <w:r w:rsidRPr="00A15BC0">
              <w:rPr>
                <w:b/>
                <w:bCs/>
              </w:rPr>
              <w:t>Mean (SD)</w:t>
            </w:r>
          </w:p>
        </w:tc>
        <w:tc>
          <w:tcPr>
            <w:tcW w:w="1800" w:type="dxa"/>
          </w:tcPr>
          <w:p w14:paraId="3EC7226B" w14:textId="77777777" w:rsidR="00574EE2" w:rsidRPr="00A15BC0" w:rsidRDefault="00574EE2" w:rsidP="006044F1">
            <w:pPr>
              <w:jc w:val="center"/>
              <w:rPr>
                <w:b/>
                <w:bCs/>
              </w:rPr>
            </w:pPr>
            <w:r w:rsidRPr="00A15BC0">
              <w:rPr>
                <w:b/>
                <w:bCs/>
              </w:rPr>
              <w:t>Median</w:t>
            </w:r>
          </w:p>
        </w:tc>
        <w:tc>
          <w:tcPr>
            <w:tcW w:w="1545" w:type="dxa"/>
          </w:tcPr>
          <w:p w14:paraId="788047F2" w14:textId="77777777" w:rsidR="00574EE2" w:rsidRPr="00A15BC0" w:rsidRDefault="00574EE2" w:rsidP="006044F1">
            <w:pPr>
              <w:jc w:val="center"/>
              <w:rPr>
                <w:b/>
                <w:bCs/>
              </w:rPr>
            </w:pPr>
            <w:r w:rsidRPr="00A15BC0">
              <w:rPr>
                <w:b/>
                <w:bCs/>
              </w:rPr>
              <w:t>Minimum</w:t>
            </w:r>
          </w:p>
        </w:tc>
        <w:tc>
          <w:tcPr>
            <w:tcW w:w="1870" w:type="dxa"/>
          </w:tcPr>
          <w:p w14:paraId="6C551063" w14:textId="77777777" w:rsidR="00574EE2" w:rsidRPr="00A15BC0" w:rsidRDefault="00574EE2" w:rsidP="006044F1">
            <w:pPr>
              <w:jc w:val="center"/>
              <w:rPr>
                <w:b/>
                <w:bCs/>
              </w:rPr>
            </w:pPr>
            <w:r w:rsidRPr="00A15BC0">
              <w:rPr>
                <w:b/>
                <w:bCs/>
              </w:rPr>
              <w:t>Maximum</w:t>
            </w:r>
          </w:p>
        </w:tc>
      </w:tr>
      <w:tr w:rsidR="00574EE2" w14:paraId="0C4EB53B" w14:textId="77777777" w:rsidTr="006044F1">
        <w:tc>
          <w:tcPr>
            <w:tcW w:w="1870" w:type="dxa"/>
          </w:tcPr>
          <w:p w14:paraId="60D599A5" w14:textId="77777777" w:rsidR="00574EE2" w:rsidRPr="00A15BC0" w:rsidRDefault="00574EE2" w:rsidP="006044F1">
            <w:pPr>
              <w:rPr>
                <w:b/>
                <w:bCs/>
              </w:rPr>
            </w:pPr>
            <w:r w:rsidRPr="00A15BC0">
              <w:rPr>
                <w:b/>
                <w:bCs/>
              </w:rPr>
              <w:t>Total Caseworkers</w:t>
            </w:r>
          </w:p>
        </w:tc>
        <w:tc>
          <w:tcPr>
            <w:tcW w:w="2265" w:type="dxa"/>
            <w:vAlign w:val="center"/>
          </w:tcPr>
          <w:p w14:paraId="7D742A80" w14:textId="77777777" w:rsidR="00574EE2" w:rsidRDefault="00574EE2" w:rsidP="006044F1">
            <w:pPr>
              <w:jc w:val="center"/>
            </w:pPr>
            <w:r>
              <w:t>17.9 (31.5)</w:t>
            </w:r>
          </w:p>
        </w:tc>
        <w:tc>
          <w:tcPr>
            <w:tcW w:w="1800" w:type="dxa"/>
            <w:vAlign w:val="center"/>
          </w:tcPr>
          <w:p w14:paraId="6C8F6F5A" w14:textId="77777777" w:rsidR="00574EE2" w:rsidRDefault="00574EE2" w:rsidP="006044F1">
            <w:pPr>
              <w:jc w:val="center"/>
            </w:pPr>
            <w:r>
              <w:t>6</w:t>
            </w:r>
          </w:p>
        </w:tc>
        <w:tc>
          <w:tcPr>
            <w:tcW w:w="1545" w:type="dxa"/>
            <w:vAlign w:val="center"/>
          </w:tcPr>
          <w:p w14:paraId="55AFBD77" w14:textId="77777777" w:rsidR="00574EE2" w:rsidRDefault="00574EE2" w:rsidP="006044F1">
            <w:pPr>
              <w:jc w:val="center"/>
            </w:pPr>
            <w:r>
              <w:t>1</w:t>
            </w:r>
          </w:p>
        </w:tc>
        <w:tc>
          <w:tcPr>
            <w:tcW w:w="1870" w:type="dxa"/>
            <w:vAlign w:val="center"/>
          </w:tcPr>
          <w:p w14:paraId="52045C1D" w14:textId="77777777" w:rsidR="00574EE2" w:rsidRDefault="00574EE2" w:rsidP="006044F1">
            <w:pPr>
              <w:jc w:val="center"/>
            </w:pPr>
            <w:r>
              <w:t>153</w:t>
            </w:r>
          </w:p>
        </w:tc>
      </w:tr>
      <w:tr w:rsidR="00574EE2" w14:paraId="1A10B87E" w14:textId="77777777" w:rsidTr="006044F1">
        <w:tc>
          <w:tcPr>
            <w:tcW w:w="1870" w:type="dxa"/>
          </w:tcPr>
          <w:p w14:paraId="428B531A" w14:textId="77777777" w:rsidR="00574EE2" w:rsidRPr="00A15BC0" w:rsidRDefault="00574EE2" w:rsidP="006044F1">
            <w:pPr>
              <w:rPr>
                <w:b/>
                <w:bCs/>
              </w:rPr>
            </w:pPr>
            <w:r w:rsidRPr="00A15BC0">
              <w:rPr>
                <w:b/>
                <w:bCs/>
              </w:rPr>
              <w:t>Total Supervisors</w:t>
            </w:r>
          </w:p>
        </w:tc>
        <w:tc>
          <w:tcPr>
            <w:tcW w:w="2265" w:type="dxa"/>
            <w:vAlign w:val="center"/>
          </w:tcPr>
          <w:p w14:paraId="75FFEEE6" w14:textId="77777777" w:rsidR="00574EE2" w:rsidRDefault="00574EE2" w:rsidP="006044F1">
            <w:pPr>
              <w:jc w:val="center"/>
            </w:pPr>
            <w:r>
              <w:t>4.4 (6.3)</w:t>
            </w:r>
          </w:p>
        </w:tc>
        <w:tc>
          <w:tcPr>
            <w:tcW w:w="1800" w:type="dxa"/>
            <w:vAlign w:val="center"/>
          </w:tcPr>
          <w:p w14:paraId="767CE151" w14:textId="77777777" w:rsidR="00574EE2" w:rsidRDefault="00574EE2" w:rsidP="006044F1">
            <w:pPr>
              <w:jc w:val="center"/>
            </w:pPr>
            <w:r>
              <w:t>2</w:t>
            </w:r>
          </w:p>
        </w:tc>
        <w:tc>
          <w:tcPr>
            <w:tcW w:w="1545" w:type="dxa"/>
            <w:vAlign w:val="center"/>
          </w:tcPr>
          <w:p w14:paraId="2FDCD2B1" w14:textId="77777777" w:rsidR="00574EE2" w:rsidRDefault="00574EE2" w:rsidP="006044F1">
            <w:pPr>
              <w:jc w:val="center"/>
            </w:pPr>
            <w:r>
              <w:t>1</w:t>
            </w:r>
          </w:p>
        </w:tc>
        <w:tc>
          <w:tcPr>
            <w:tcW w:w="1870" w:type="dxa"/>
            <w:vAlign w:val="center"/>
          </w:tcPr>
          <w:p w14:paraId="458BAA4A" w14:textId="77777777" w:rsidR="00574EE2" w:rsidRDefault="00574EE2" w:rsidP="006044F1">
            <w:pPr>
              <w:jc w:val="center"/>
            </w:pPr>
            <w:r>
              <w:t>31</w:t>
            </w:r>
          </w:p>
        </w:tc>
      </w:tr>
      <w:tr w:rsidR="00574EE2" w14:paraId="14059835" w14:textId="77777777" w:rsidTr="006044F1">
        <w:tc>
          <w:tcPr>
            <w:tcW w:w="1870" w:type="dxa"/>
          </w:tcPr>
          <w:p w14:paraId="0E828AED" w14:textId="77777777" w:rsidR="00574EE2" w:rsidRPr="00A15BC0" w:rsidRDefault="00574EE2" w:rsidP="006044F1">
            <w:pPr>
              <w:rPr>
                <w:b/>
                <w:bCs/>
              </w:rPr>
            </w:pPr>
            <w:r>
              <w:rPr>
                <w:b/>
                <w:bCs/>
              </w:rPr>
              <w:t xml:space="preserve">% </w:t>
            </w:r>
            <w:r w:rsidRPr="00A15BC0">
              <w:rPr>
                <w:b/>
                <w:bCs/>
              </w:rPr>
              <w:t>Caseworkers in Position 18+ Months</w:t>
            </w:r>
          </w:p>
        </w:tc>
        <w:tc>
          <w:tcPr>
            <w:tcW w:w="2265" w:type="dxa"/>
            <w:vAlign w:val="center"/>
          </w:tcPr>
          <w:p w14:paraId="41184EB6" w14:textId="77777777" w:rsidR="00574EE2" w:rsidRDefault="00574EE2" w:rsidP="006044F1">
            <w:pPr>
              <w:jc w:val="center"/>
            </w:pPr>
            <w:r>
              <w:t>62.2% (30.0%)</w:t>
            </w:r>
          </w:p>
        </w:tc>
        <w:tc>
          <w:tcPr>
            <w:tcW w:w="1800" w:type="dxa"/>
            <w:vAlign w:val="center"/>
          </w:tcPr>
          <w:p w14:paraId="5C9060D3" w14:textId="77777777" w:rsidR="00574EE2" w:rsidRDefault="00574EE2" w:rsidP="006044F1">
            <w:pPr>
              <w:jc w:val="center"/>
            </w:pPr>
            <w:r>
              <w:t>60%</w:t>
            </w:r>
          </w:p>
        </w:tc>
        <w:tc>
          <w:tcPr>
            <w:tcW w:w="1545" w:type="dxa"/>
            <w:vAlign w:val="center"/>
          </w:tcPr>
          <w:p w14:paraId="29DF6E26" w14:textId="77777777" w:rsidR="00574EE2" w:rsidRDefault="00574EE2" w:rsidP="006044F1">
            <w:pPr>
              <w:jc w:val="center"/>
            </w:pPr>
            <w:r>
              <w:t>0%</w:t>
            </w:r>
          </w:p>
        </w:tc>
        <w:tc>
          <w:tcPr>
            <w:tcW w:w="1870" w:type="dxa"/>
            <w:vAlign w:val="center"/>
          </w:tcPr>
          <w:p w14:paraId="7B916611" w14:textId="77777777" w:rsidR="00574EE2" w:rsidRDefault="00574EE2" w:rsidP="006044F1">
            <w:pPr>
              <w:jc w:val="center"/>
            </w:pPr>
            <w:r>
              <w:t>100%</w:t>
            </w:r>
          </w:p>
        </w:tc>
      </w:tr>
      <w:tr w:rsidR="00574EE2" w14:paraId="4DA5AD0D" w14:textId="77777777" w:rsidTr="006044F1">
        <w:tc>
          <w:tcPr>
            <w:tcW w:w="1870" w:type="dxa"/>
          </w:tcPr>
          <w:p w14:paraId="35ACF0D0" w14:textId="77777777" w:rsidR="00574EE2" w:rsidRPr="00A15BC0" w:rsidRDefault="00574EE2" w:rsidP="006044F1">
            <w:pPr>
              <w:rPr>
                <w:b/>
                <w:bCs/>
              </w:rPr>
            </w:pPr>
            <w:r>
              <w:rPr>
                <w:b/>
                <w:bCs/>
              </w:rPr>
              <w:t xml:space="preserve">% </w:t>
            </w:r>
            <w:r w:rsidRPr="00A15BC0">
              <w:rPr>
                <w:b/>
                <w:bCs/>
              </w:rPr>
              <w:t>Supervisors in Position 18+ Months</w:t>
            </w:r>
          </w:p>
        </w:tc>
        <w:tc>
          <w:tcPr>
            <w:tcW w:w="2265" w:type="dxa"/>
            <w:vAlign w:val="center"/>
          </w:tcPr>
          <w:p w14:paraId="469F20F2" w14:textId="77777777" w:rsidR="00574EE2" w:rsidRDefault="00574EE2" w:rsidP="006044F1">
            <w:pPr>
              <w:jc w:val="center"/>
            </w:pPr>
            <w:r>
              <w:t>76.6% (33.4%)</w:t>
            </w:r>
          </w:p>
        </w:tc>
        <w:tc>
          <w:tcPr>
            <w:tcW w:w="1800" w:type="dxa"/>
            <w:vAlign w:val="center"/>
          </w:tcPr>
          <w:p w14:paraId="61BFC565" w14:textId="77777777" w:rsidR="00574EE2" w:rsidRDefault="00574EE2" w:rsidP="006044F1">
            <w:pPr>
              <w:jc w:val="center"/>
            </w:pPr>
            <w:r>
              <w:t>100%</w:t>
            </w:r>
          </w:p>
        </w:tc>
        <w:tc>
          <w:tcPr>
            <w:tcW w:w="1545" w:type="dxa"/>
            <w:vAlign w:val="center"/>
          </w:tcPr>
          <w:p w14:paraId="15049999" w14:textId="77777777" w:rsidR="00574EE2" w:rsidRDefault="00574EE2" w:rsidP="006044F1">
            <w:pPr>
              <w:jc w:val="center"/>
            </w:pPr>
            <w:r>
              <w:t>0%</w:t>
            </w:r>
          </w:p>
        </w:tc>
        <w:tc>
          <w:tcPr>
            <w:tcW w:w="1870" w:type="dxa"/>
            <w:vAlign w:val="center"/>
          </w:tcPr>
          <w:p w14:paraId="6C853741" w14:textId="77777777" w:rsidR="00574EE2" w:rsidRDefault="00574EE2" w:rsidP="006044F1">
            <w:pPr>
              <w:jc w:val="center"/>
            </w:pPr>
            <w:r>
              <w:t>100%</w:t>
            </w:r>
          </w:p>
        </w:tc>
      </w:tr>
      <w:tr w:rsidR="00574EE2" w14:paraId="7B19FC1B" w14:textId="77777777" w:rsidTr="006044F1">
        <w:tc>
          <w:tcPr>
            <w:tcW w:w="1870" w:type="dxa"/>
          </w:tcPr>
          <w:p w14:paraId="67ECB00D" w14:textId="77777777" w:rsidR="00574EE2" w:rsidRPr="00A15BC0" w:rsidRDefault="00574EE2" w:rsidP="006044F1">
            <w:pPr>
              <w:rPr>
                <w:b/>
                <w:bCs/>
              </w:rPr>
            </w:pPr>
            <w:r w:rsidRPr="00A15BC0">
              <w:rPr>
                <w:b/>
                <w:bCs/>
              </w:rPr>
              <w:t>Vacant Caseworker Positions</w:t>
            </w:r>
          </w:p>
        </w:tc>
        <w:tc>
          <w:tcPr>
            <w:tcW w:w="2265" w:type="dxa"/>
            <w:vAlign w:val="center"/>
          </w:tcPr>
          <w:p w14:paraId="7E2AC4E0" w14:textId="77777777" w:rsidR="00574EE2" w:rsidRDefault="00574EE2" w:rsidP="006044F1">
            <w:pPr>
              <w:jc w:val="center"/>
            </w:pPr>
            <w:r>
              <w:t>2.1 (4.3)</w:t>
            </w:r>
          </w:p>
        </w:tc>
        <w:tc>
          <w:tcPr>
            <w:tcW w:w="1800" w:type="dxa"/>
            <w:vAlign w:val="center"/>
          </w:tcPr>
          <w:p w14:paraId="49CFC3A1" w14:textId="77777777" w:rsidR="00574EE2" w:rsidRDefault="00574EE2" w:rsidP="006044F1">
            <w:pPr>
              <w:jc w:val="center"/>
            </w:pPr>
            <w:r>
              <w:t>0.5</w:t>
            </w:r>
          </w:p>
        </w:tc>
        <w:tc>
          <w:tcPr>
            <w:tcW w:w="1545" w:type="dxa"/>
            <w:vAlign w:val="center"/>
          </w:tcPr>
          <w:p w14:paraId="4290D3E0" w14:textId="77777777" w:rsidR="00574EE2" w:rsidRDefault="00574EE2" w:rsidP="006044F1">
            <w:pPr>
              <w:jc w:val="center"/>
            </w:pPr>
            <w:r>
              <w:t>0</w:t>
            </w:r>
          </w:p>
        </w:tc>
        <w:tc>
          <w:tcPr>
            <w:tcW w:w="1870" w:type="dxa"/>
            <w:vAlign w:val="center"/>
          </w:tcPr>
          <w:p w14:paraId="491D10CA" w14:textId="77777777" w:rsidR="00574EE2" w:rsidRDefault="00574EE2" w:rsidP="006044F1">
            <w:pPr>
              <w:jc w:val="center"/>
            </w:pPr>
            <w:r>
              <w:t>20</w:t>
            </w:r>
          </w:p>
        </w:tc>
      </w:tr>
      <w:tr w:rsidR="00574EE2" w14:paraId="37897E1E" w14:textId="77777777" w:rsidTr="006044F1">
        <w:tc>
          <w:tcPr>
            <w:tcW w:w="1870" w:type="dxa"/>
          </w:tcPr>
          <w:p w14:paraId="2EE99923" w14:textId="77777777" w:rsidR="00574EE2" w:rsidRPr="00A15BC0" w:rsidRDefault="00574EE2" w:rsidP="006044F1">
            <w:pPr>
              <w:rPr>
                <w:b/>
                <w:bCs/>
              </w:rPr>
            </w:pPr>
            <w:r w:rsidRPr="00A15BC0">
              <w:rPr>
                <w:b/>
                <w:bCs/>
              </w:rPr>
              <w:t>Vacant Supervisor Positions</w:t>
            </w:r>
          </w:p>
        </w:tc>
        <w:tc>
          <w:tcPr>
            <w:tcW w:w="2265" w:type="dxa"/>
            <w:vAlign w:val="center"/>
          </w:tcPr>
          <w:p w14:paraId="52A49AF9" w14:textId="77777777" w:rsidR="00574EE2" w:rsidRDefault="00574EE2" w:rsidP="006044F1">
            <w:pPr>
              <w:jc w:val="center"/>
            </w:pPr>
            <w:r>
              <w:t>0.5 (1.0)</w:t>
            </w:r>
          </w:p>
        </w:tc>
        <w:tc>
          <w:tcPr>
            <w:tcW w:w="1800" w:type="dxa"/>
            <w:vAlign w:val="center"/>
          </w:tcPr>
          <w:p w14:paraId="0FDA1255" w14:textId="77777777" w:rsidR="00574EE2" w:rsidRDefault="00574EE2" w:rsidP="006044F1">
            <w:pPr>
              <w:jc w:val="center"/>
            </w:pPr>
            <w:r>
              <w:t>0</w:t>
            </w:r>
          </w:p>
        </w:tc>
        <w:tc>
          <w:tcPr>
            <w:tcW w:w="1545" w:type="dxa"/>
            <w:vAlign w:val="center"/>
          </w:tcPr>
          <w:p w14:paraId="3BFE127B" w14:textId="77777777" w:rsidR="00574EE2" w:rsidRDefault="00574EE2" w:rsidP="006044F1">
            <w:pPr>
              <w:jc w:val="center"/>
            </w:pPr>
            <w:r>
              <w:t>0</w:t>
            </w:r>
          </w:p>
        </w:tc>
        <w:tc>
          <w:tcPr>
            <w:tcW w:w="1870" w:type="dxa"/>
            <w:vAlign w:val="center"/>
          </w:tcPr>
          <w:p w14:paraId="1D17DD17" w14:textId="77777777" w:rsidR="00574EE2" w:rsidRDefault="00574EE2" w:rsidP="006044F1">
            <w:pPr>
              <w:jc w:val="center"/>
            </w:pPr>
            <w:r>
              <w:t>6</w:t>
            </w:r>
          </w:p>
        </w:tc>
      </w:tr>
      <w:tr w:rsidR="00574EE2" w14:paraId="277E0A8F" w14:textId="77777777" w:rsidTr="006044F1">
        <w:tc>
          <w:tcPr>
            <w:tcW w:w="1870" w:type="dxa"/>
          </w:tcPr>
          <w:p w14:paraId="30B818AB" w14:textId="77777777" w:rsidR="00574EE2" w:rsidRPr="00A15BC0" w:rsidRDefault="00574EE2" w:rsidP="006044F1">
            <w:pPr>
              <w:rPr>
                <w:b/>
                <w:bCs/>
              </w:rPr>
            </w:pPr>
            <w:r w:rsidRPr="00A15BC0">
              <w:rPr>
                <w:b/>
                <w:bCs/>
              </w:rPr>
              <w:t>Average Caseworker Salary</w:t>
            </w:r>
          </w:p>
        </w:tc>
        <w:tc>
          <w:tcPr>
            <w:tcW w:w="2265" w:type="dxa"/>
            <w:vAlign w:val="center"/>
          </w:tcPr>
          <w:p w14:paraId="219734CF" w14:textId="77777777" w:rsidR="00574EE2" w:rsidRDefault="00574EE2" w:rsidP="006044F1">
            <w:pPr>
              <w:jc w:val="center"/>
            </w:pPr>
            <w:r>
              <w:t>$37,273 ($5,755)</w:t>
            </w:r>
          </w:p>
        </w:tc>
        <w:tc>
          <w:tcPr>
            <w:tcW w:w="1800" w:type="dxa"/>
            <w:vAlign w:val="center"/>
          </w:tcPr>
          <w:p w14:paraId="40D1B720" w14:textId="77777777" w:rsidR="00574EE2" w:rsidRDefault="00574EE2" w:rsidP="006044F1">
            <w:pPr>
              <w:jc w:val="center"/>
            </w:pPr>
            <w:r>
              <w:t>$38,926</w:t>
            </w:r>
          </w:p>
        </w:tc>
        <w:tc>
          <w:tcPr>
            <w:tcW w:w="1545" w:type="dxa"/>
            <w:vAlign w:val="center"/>
          </w:tcPr>
          <w:p w14:paraId="486B1CDE" w14:textId="77777777" w:rsidR="00574EE2" w:rsidRDefault="00574EE2" w:rsidP="006044F1">
            <w:pPr>
              <w:jc w:val="center"/>
            </w:pPr>
            <w:r>
              <w:t>$17,500</w:t>
            </w:r>
          </w:p>
        </w:tc>
        <w:tc>
          <w:tcPr>
            <w:tcW w:w="1870" w:type="dxa"/>
            <w:vAlign w:val="center"/>
          </w:tcPr>
          <w:p w14:paraId="503F4D1C" w14:textId="77777777" w:rsidR="00574EE2" w:rsidRDefault="00574EE2" w:rsidP="006044F1">
            <w:pPr>
              <w:jc w:val="center"/>
            </w:pPr>
            <w:r>
              <w:t>$46,474</w:t>
            </w:r>
          </w:p>
        </w:tc>
      </w:tr>
      <w:tr w:rsidR="00574EE2" w14:paraId="7DC280F7" w14:textId="77777777" w:rsidTr="006044F1">
        <w:tc>
          <w:tcPr>
            <w:tcW w:w="1870" w:type="dxa"/>
          </w:tcPr>
          <w:p w14:paraId="2967CC31" w14:textId="77777777" w:rsidR="00574EE2" w:rsidRPr="00A15BC0" w:rsidRDefault="00574EE2" w:rsidP="006044F1">
            <w:pPr>
              <w:rPr>
                <w:b/>
                <w:bCs/>
              </w:rPr>
            </w:pPr>
            <w:r w:rsidRPr="00A15BC0">
              <w:rPr>
                <w:b/>
                <w:bCs/>
              </w:rPr>
              <w:t>Minimum Caseworker Salary</w:t>
            </w:r>
          </w:p>
        </w:tc>
        <w:tc>
          <w:tcPr>
            <w:tcW w:w="2265" w:type="dxa"/>
            <w:vAlign w:val="center"/>
          </w:tcPr>
          <w:p w14:paraId="0E114F24" w14:textId="77777777" w:rsidR="00574EE2" w:rsidRDefault="00574EE2" w:rsidP="006044F1">
            <w:pPr>
              <w:jc w:val="center"/>
            </w:pPr>
            <w:r>
              <w:t>$34,214 ($5,456)</w:t>
            </w:r>
          </w:p>
        </w:tc>
        <w:tc>
          <w:tcPr>
            <w:tcW w:w="1800" w:type="dxa"/>
            <w:vAlign w:val="center"/>
          </w:tcPr>
          <w:p w14:paraId="4915DBAA" w14:textId="77777777" w:rsidR="00574EE2" w:rsidRDefault="00574EE2" w:rsidP="006044F1">
            <w:pPr>
              <w:jc w:val="center"/>
            </w:pPr>
            <w:r>
              <w:t>$35,568</w:t>
            </w:r>
          </w:p>
        </w:tc>
        <w:tc>
          <w:tcPr>
            <w:tcW w:w="1545" w:type="dxa"/>
            <w:vAlign w:val="center"/>
          </w:tcPr>
          <w:p w14:paraId="6698DC73" w14:textId="77777777" w:rsidR="00574EE2" w:rsidRDefault="00574EE2" w:rsidP="006044F1">
            <w:pPr>
              <w:jc w:val="center"/>
            </w:pPr>
            <w:r>
              <w:t>$15,640</w:t>
            </w:r>
          </w:p>
        </w:tc>
        <w:tc>
          <w:tcPr>
            <w:tcW w:w="1870" w:type="dxa"/>
            <w:vAlign w:val="center"/>
          </w:tcPr>
          <w:p w14:paraId="114E23DD" w14:textId="77777777" w:rsidR="00574EE2" w:rsidRDefault="00574EE2" w:rsidP="006044F1">
            <w:pPr>
              <w:jc w:val="center"/>
            </w:pPr>
            <w:r>
              <w:t>$43,372</w:t>
            </w:r>
          </w:p>
        </w:tc>
      </w:tr>
      <w:tr w:rsidR="00574EE2" w14:paraId="011371F8" w14:textId="77777777" w:rsidTr="006044F1">
        <w:tc>
          <w:tcPr>
            <w:tcW w:w="1870" w:type="dxa"/>
          </w:tcPr>
          <w:p w14:paraId="29DA7FF7" w14:textId="77777777" w:rsidR="00574EE2" w:rsidRPr="00A15BC0" w:rsidRDefault="00574EE2" w:rsidP="006044F1">
            <w:pPr>
              <w:rPr>
                <w:b/>
                <w:bCs/>
              </w:rPr>
            </w:pPr>
            <w:r w:rsidRPr="00A15BC0">
              <w:rPr>
                <w:b/>
                <w:bCs/>
              </w:rPr>
              <w:t>Maximum Caseworker Salary</w:t>
            </w:r>
          </w:p>
        </w:tc>
        <w:tc>
          <w:tcPr>
            <w:tcW w:w="2265" w:type="dxa"/>
            <w:vAlign w:val="center"/>
          </w:tcPr>
          <w:p w14:paraId="3E6BE080" w14:textId="77777777" w:rsidR="00574EE2" w:rsidRDefault="00574EE2" w:rsidP="006044F1">
            <w:pPr>
              <w:jc w:val="center"/>
            </w:pPr>
            <w:r>
              <w:t>$43,885 ($7,178)</w:t>
            </w:r>
          </w:p>
        </w:tc>
        <w:tc>
          <w:tcPr>
            <w:tcW w:w="1800" w:type="dxa"/>
            <w:vAlign w:val="center"/>
          </w:tcPr>
          <w:p w14:paraId="4B906A10" w14:textId="77777777" w:rsidR="00574EE2" w:rsidRDefault="00574EE2" w:rsidP="006044F1">
            <w:pPr>
              <w:jc w:val="center"/>
            </w:pPr>
            <w:r>
              <w:t>$43,000</w:t>
            </w:r>
          </w:p>
        </w:tc>
        <w:tc>
          <w:tcPr>
            <w:tcW w:w="1545" w:type="dxa"/>
            <w:vAlign w:val="center"/>
          </w:tcPr>
          <w:p w14:paraId="7E41C04D" w14:textId="77777777" w:rsidR="00574EE2" w:rsidRDefault="00574EE2" w:rsidP="006044F1">
            <w:pPr>
              <w:jc w:val="center"/>
            </w:pPr>
            <w:r>
              <w:t>$20,840</w:t>
            </w:r>
          </w:p>
        </w:tc>
        <w:tc>
          <w:tcPr>
            <w:tcW w:w="1870" w:type="dxa"/>
            <w:vAlign w:val="center"/>
          </w:tcPr>
          <w:p w14:paraId="3B7B37AB" w14:textId="77777777" w:rsidR="00574EE2" w:rsidRDefault="00574EE2" w:rsidP="006044F1">
            <w:pPr>
              <w:jc w:val="center"/>
            </w:pPr>
            <w:r>
              <w:t>$59,287</w:t>
            </w:r>
          </w:p>
        </w:tc>
      </w:tr>
      <w:tr w:rsidR="00574EE2" w14:paraId="1EED3D31" w14:textId="77777777" w:rsidTr="006044F1">
        <w:tc>
          <w:tcPr>
            <w:tcW w:w="1870" w:type="dxa"/>
          </w:tcPr>
          <w:p w14:paraId="6207D836" w14:textId="77777777" w:rsidR="00574EE2" w:rsidRPr="00A15BC0" w:rsidRDefault="00574EE2" w:rsidP="006044F1">
            <w:pPr>
              <w:rPr>
                <w:b/>
                <w:bCs/>
              </w:rPr>
            </w:pPr>
            <w:r w:rsidRPr="00A15BC0">
              <w:rPr>
                <w:b/>
                <w:bCs/>
              </w:rPr>
              <w:t>Average Supervisor Salary</w:t>
            </w:r>
          </w:p>
        </w:tc>
        <w:tc>
          <w:tcPr>
            <w:tcW w:w="2265" w:type="dxa"/>
            <w:vAlign w:val="center"/>
          </w:tcPr>
          <w:p w14:paraId="61FE7465" w14:textId="77777777" w:rsidR="00574EE2" w:rsidRDefault="00574EE2" w:rsidP="006044F1">
            <w:pPr>
              <w:jc w:val="center"/>
            </w:pPr>
            <w:r>
              <w:t>$50,902 (10,346)</w:t>
            </w:r>
          </w:p>
        </w:tc>
        <w:tc>
          <w:tcPr>
            <w:tcW w:w="1800" w:type="dxa"/>
            <w:vAlign w:val="center"/>
          </w:tcPr>
          <w:p w14:paraId="79C437C1" w14:textId="77777777" w:rsidR="00574EE2" w:rsidRDefault="00574EE2" w:rsidP="006044F1">
            <w:pPr>
              <w:jc w:val="center"/>
            </w:pPr>
            <w:r>
              <w:t>$50,000</w:t>
            </w:r>
          </w:p>
        </w:tc>
        <w:tc>
          <w:tcPr>
            <w:tcW w:w="1545" w:type="dxa"/>
            <w:vAlign w:val="center"/>
          </w:tcPr>
          <w:p w14:paraId="779BEAFC" w14:textId="77777777" w:rsidR="00574EE2" w:rsidRDefault="00574EE2" w:rsidP="006044F1">
            <w:pPr>
              <w:jc w:val="center"/>
            </w:pPr>
            <w:r>
              <w:t>$22,810</w:t>
            </w:r>
          </w:p>
        </w:tc>
        <w:tc>
          <w:tcPr>
            <w:tcW w:w="1870" w:type="dxa"/>
            <w:vAlign w:val="center"/>
          </w:tcPr>
          <w:p w14:paraId="3392B9C3" w14:textId="77777777" w:rsidR="00574EE2" w:rsidRDefault="00574EE2" w:rsidP="006044F1">
            <w:pPr>
              <w:jc w:val="center"/>
            </w:pPr>
            <w:r>
              <w:t>$72,000</w:t>
            </w:r>
          </w:p>
        </w:tc>
      </w:tr>
      <w:tr w:rsidR="00574EE2" w14:paraId="1149529E" w14:textId="77777777" w:rsidTr="006044F1">
        <w:tc>
          <w:tcPr>
            <w:tcW w:w="1870" w:type="dxa"/>
          </w:tcPr>
          <w:p w14:paraId="0E5141FE" w14:textId="77777777" w:rsidR="00574EE2" w:rsidRPr="00A15BC0" w:rsidRDefault="00574EE2" w:rsidP="006044F1">
            <w:pPr>
              <w:rPr>
                <w:b/>
                <w:bCs/>
              </w:rPr>
            </w:pPr>
            <w:r w:rsidRPr="00A15BC0">
              <w:rPr>
                <w:b/>
                <w:bCs/>
              </w:rPr>
              <w:t>Minimum Supervisor Salary</w:t>
            </w:r>
          </w:p>
        </w:tc>
        <w:tc>
          <w:tcPr>
            <w:tcW w:w="2265" w:type="dxa"/>
            <w:vAlign w:val="center"/>
          </w:tcPr>
          <w:p w14:paraId="5E5D61CC" w14:textId="77777777" w:rsidR="00574EE2" w:rsidRDefault="00574EE2" w:rsidP="006044F1">
            <w:pPr>
              <w:jc w:val="center"/>
            </w:pPr>
            <w:r>
              <w:t>$45,502 ($10,990)</w:t>
            </w:r>
          </w:p>
        </w:tc>
        <w:tc>
          <w:tcPr>
            <w:tcW w:w="1800" w:type="dxa"/>
            <w:vAlign w:val="center"/>
          </w:tcPr>
          <w:p w14:paraId="3F7DB59D" w14:textId="77777777" w:rsidR="00574EE2" w:rsidRDefault="00574EE2" w:rsidP="006044F1">
            <w:pPr>
              <w:jc w:val="center"/>
            </w:pPr>
            <w:r>
              <w:t>$45,800</w:t>
            </w:r>
          </w:p>
        </w:tc>
        <w:tc>
          <w:tcPr>
            <w:tcW w:w="1545" w:type="dxa"/>
            <w:vAlign w:val="center"/>
          </w:tcPr>
          <w:p w14:paraId="54AD0E18" w14:textId="77777777" w:rsidR="00574EE2" w:rsidRDefault="00574EE2" w:rsidP="006044F1">
            <w:pPr>
              <w:jc w:val="center"/>
            </w:pPr>
            <w:r>
              <w:t>$19,480</w:t>
            </w:r>
          </w:p>
        </w:tc>
        <w:tc>
          <w:tcPr>
            <w:tcW w:w="1870" w:type="dxa"/>
            <w:vAlign w:val="center"/>
          </w:tcPr>
          <w:p w14:paraId="0E028231" w14:textId="77777777" w:rsidR="00574EE2" w:rsidRDefault="00574EE2" w:rsidP="006044F1">
            <w:pPr>
              <w:jc w:val="center"/>
            </w:pPr>
            <w:r>
              <w:t>$72,000</w:t>
            </w:r>
          </w:p>
        </w:tc>
      </w:tr>
      <w:tr w:rsidR="00574EE2" w14:paraId="0A9517AD" w14:textId="77777777" w:rsidTr="006044F1">
        <w:tc>
          <w:tcPr>
            <w:tcW w:w="1870" w:type="dxa"/>
          </w:tcPr>
          <w:p w14:paraId="44F32F72" w14:textId="77777777" w:rsidR="00574EE2" w:rsidRPr="00A15BC0" w:rsidRDefault="00574EE2" w:rsidP="006044F1">
            <w:pPr>
              <w:rPr>
                <w:b/>
                <w:bCs/>
              </w:rPr>
            </w:pPr>
            <w:r w:rsidRPr="00A15BC0">
              <w:rPr>
                <w:b/>
                <w:bCs/>
              </w:rPr>
              <w:t>Maximum Supervisor Salary</w:t>
            </w:r>
          </w:p>
        </w:tc>
        <w:tc>
          <w:tcPr>
            <w:tcW w:w="2265" w:type="dxa"/>
            <w:vAlign w:val="center"/>
          </w:tcPr>
          <w:p w14:paraId="406FFD29" w14:textId="77777777" w:rsidR="00574EE2" w:rsidRDefault="00574EE2" w:rsidP="006044F1">
            <w:pPr>
              <w:jc w:val="center"/>
            </w:pPr>
            <w:r>
              <w:t>$62,533 ($16,906)</w:t>
            </w:r>
          </w:p>
        </w:tc>
        <w:tc>
          <w:tcPr>
            <w:tcW w:w="1800" w:type="dxa"/>
            <w:vAlign w:val="center"/>
          </w:tcPr>
          <w:p w14:paraId="234FD215" w14:textId="77777777" w:rsidR="00574EE2" w:rsidRDefault="00574EE2" w:rsidP="006044F1">
            <w:pPr>
              <w:jc w:val="center"/>
            </w:pPr>
            <w:r>
              <w:t>$59,323</w:t>
            </w:r>
          </w:p>
        </w:tc>
        <w:tc>
          <w:tcPr>
            <w:tcW w:w="1545" w:type="dxa"/>
            <w:vAlign w:val="center"/>
          </w:tcPr>
          <w:p w14:paraId="483B2E58" w14:textId="77777777" w:rsidR="00574EE2" w:rsidRDefault="00574EE2" w:rsidP="006044F1">
            <w:pPr>
              <w:jc w:val="center"/>
            </w:pPr>
            <w:r>
              <w:t>$28,500</w:t>
            </w:r>
          </w:p>
        </w:tc>
        <w:tc>
          <w:tcPr>
            <w:tcW w:w="1870" w:type="dxa"/>
            <w:vAlign w:val="center"/>
          </w:tcPr>
          <w:p w14:paraId="216DC115" w14:textId="77777777" w:rsidR="00574EE2" w:rsidRDefault="00574EE2" w:rsidP="006044F1">
            <w:pPr>
              <w:jc w:val="center"/>
            </w:pPr>
            <w:r>
              <w:t>$100,000</w:t>
            </w:r>
          </w:p>
        </w:tc>
      </w:tr>
      <w:tr w:rsidR="00574EE2" w14:paraId="00AC4615" w14:textId="77777777" w:rsidTr="006044F1">
        <w:tc>
          <w:tcPr>
            <w:tcW w:w="1870" w:type="dxa"/>
          </w:tcPr>
          <w:p w14:paraId="14BA018C" w14:textId="77777777" w:rsidR="00574EE2" w:rsidRPr="00A15BC0" w:rsidRDefault="00574EE2" w:rsidP="006044F1">
            <w:pPr>
              <w:rPr>
                <w:b/>
                <w:bCs/>
              </w:rPr>
            </w:pPr>
            <w:r w:rsidRPr="00A15BC0">
              <w:rPr>
                <w:b/>
                <w:bCs/>
              </w:rPr>
              <w:t>Caseworker Turnover Rate</w:t>
            </w:r>
          </w:p>
        </w:tc>
        <w:tc>
          <w:tcPr>
            <w:tcW w:w="2265" w:type="dxa"/>
            <w:vAlign w:val="center"/>
          </w:tcPr>
          <w:p w14:paraId="3EDA0617" w14:textId="77777777" w:rsidR="00574EE2" w:rsidRDefault="00574EE2" w:rsidP="006044F1">
            <w:pPr>
              <w:jc w:val="center"/>
            </w:pPr>
            <w:r>
              <w:t>24.5% (23.0%)</w:t>
            </w:r>
          </w:p>
        </w:tc>
        <w:tc>
          <w:tcPr>
            <w:tcW w:w="1800" w:type="dxa"/>
            <w:vAlign w:val="center"/>
          </w:tcPr>
          <w:p w14:paraId="4D287CF7" w14:textId="77777777" w:rsidR="00574EE2" w:rsidRDefault="00574EE2" w:rsidP="006044F1">
            <w:pPr>
              <w:jc w:val="center"/>
            </w:pPr>
            <w:r>
              <w:t>25%</w:t>
            </w:r>
          </w:p>
        </w:tc>
        <w:tc>
          <w:tcPr>
            <w:tcW w:w="1545" w:type="dxa"/>
            <w:vAlign w:val="center"/>
          </w:tcPr>
          <w:p w14:paraId="254EFD0E" w14:textId="77777777" w:rsidR="00574EE2" w:rsidRDefault="00574EE2" w:rsidP="006044F1">
            <w:pPr>
              <w:jc w:val="center"/>
            </w:pPr>
            <w:r>
              <w:t>0%</w:t>
            </w:r>
          </w:p>
        </w:tc>
        <w:tc>
          <w:tcPr>
            <w:tcW w:w="1870" w:type="dxa"/>
            <w:vAlign w:val="center"/>
          </w:tcPr>
          <w:p w14:paraId="624EB616" w14:textId="77777777" w:rsidR="00574EE2" w:rsidRDefault="00574EE2" w:rsidP="006044F1">
            <w:pPr>
              <w:jc w:val="center"/>
            </w:pPr>
            <w:r>
              <w:t>66.6%</w:t>
            </w:r>
          </w:p>
        </w:tc>
      </w:tr>
      <w:tr w:rsidR="00574EE2" w14:paraId="190ECC1D" w14:textId="77777777" w:rsidTr="006044F1">
        <w:tc>
          <w:tcPr>
            <w:tcW w:w="1870" w:type="dxa"/>
          </w:tcPr>
          <w:p w14:paraId="6C09502B" w14:textId="77777777" w:rsidR="00574EE2" w:rsidRPr="00A15BC0" w:rsidRDefault="00574EE2" w:rsidP="006044F1">
            <w:pPr>
              <w:rPr>
                <w:b/>
                <w:bCs/>
              </w:rPr>
            </w:pPr>
            <w:r w:rsidRPr="00A15BC0">
              <w:rPr>
                <w:b/>
                <w:bCs/>
              </w:rPr>
              <w:t>Supervisor Turnover Rate</w:t>
            </w:r>
          </w:p>
        </w:tc>
        <w:tc>
          <w:tcPr>
            <w:tcW w:w="2265" w:type="dxa"/>
            <w:vAlign w:val="center"/>
          </w:tcPr>
          <w:p w14:paraId="3C5578D5" w14:textId="77777777" w:rsidR="00574EE2" w:rsidRDefault="00574EE2" w:rsidP="006044F1">
            <w:pPr>
              <w:jc w:val="center"/>
            </w:pPr>
            <w:r>
              <w:t>13.3% (22.9%)</w:t>
            </w:r>
          </w:p>
        </w:tc>
        <w:tc>
          <w:tcPr>
            <w:tcW w:w="1800" w:type="dxa"/>
            <w:vAlign w:val="center"/>
          </w:tcPr>
          <w:p w14:paraId="36096875" w14:textId="77777777" w:rsidR="00574EE2" w:rsidRDefault="00574EE2" w:rsidP="006044F1">
            <w:pPr>
              <w:jc w:val="center"/>
            </w:pPr>
            <w:r>
              <w:t>0%</w:t>
            </w:r>
          </w:p>
        </w:tc>
        <w:tc>
          <w:tcPr>
            <w:tcW w:w="1545" w:type="dxa"/>
            <w:vAlign w:val="center"/>
          </w:tcPr>
          <w:p w14:paraId="21F92B9E" w14:textId="77777777" w:rsidR="00574EE2" w:rsidRDefault="00574EE2" w:rsidP="006044F1">
            <w:pPr>
              <w:jc w:val="center"/>
            </w:pPr>
            <w:r>
              <w:t>0%</w:t>
            </w:r>
          </w:p>
        </w:tc>
        <w:tc>
          <w:tcPr>
            <w:tcW w:w="1870" w:type="dxa"/>
            <w:vAlign w:val="center"/>
          </w:tcPr>
          <w:p w14:paraId="6F0B2171" w14:textId="77777777" w:rsidR="00574EE2" w:rsidRDefault="00574EE2" w:rsidP="006044F1">
            <w:pPr>
              <w:jc w:val="center"/>
            </w:pPr>
            <w:r>
              <w:t>100%</w:t>
            </w:r>
          </w:p>
        </w:tc>
      </w:tr>
    </w:tbl>
    <w:p w14:paraId="67B922EA" w14:textId="77777777" w:rsidR="00574EE2" w:rsidRDefault="00574EE2" w:rsidP="00574EE2"/>
    <w:p w14:paraId="17480DAB" w14:textId="11DA6345" w:rsidR="00574EE2" w:rsidRDefault="00574EE2" w:rsidP="0016068E">
      <w:pPr>
        <w:spacing w:after="0"/>
      </w:pPr>
      <w:r>
        <w:t xml:space="preserve">Employers also provided reasons why caseworkers and supervisors left their positions. For caseworkers, the most common reason for leaving was accepting another position with a higher salary (49%). Leaving child welfare was also common (47%). Less common were promotion within the agency (24%) and moving (13%). In about 40% of </w:t>
      </w:r>
      <w:r w:rsidR="0016068E">
        <w:t>survey responses</w:t>
      </w:r>
      <w:r>
        <w:t xml:space="preserve">, </w:t>
      </w:r>
      <w:r w:rsidR="0016068E">
        <w:t xml:space="preserve">participants </w:t>
      </w:r>
      <w:r>
        <w:t>provided their own text for why caseworkers left. Reasons cited more than once included having a child and not returning to work, being fired, and being hired by DCFS.</w:t>
      </w:r>
    </w:p>
    <w:p w14:paraId="42410DDF" w14:textId="77777777" w:rsidR="00574EE2" w:rsidRDefault="00574EE2" w:rsidP="0016068E">
      <w:pPr>
        <w:spacing w:after="0"/>
      </w:pPr>
    </w:p>
    <w:p w14:paraId="54BDF90E" w14:textId="2577DA66" w:rsidR="00574EE2" w:rsidRDefault="00B33E85" w:rsidP="0016068E">
      <w:pPr>
        <w:spacing w:after="0"/>
      </w:pPr>
      <w:r>
        <w:t>T</w:t>
      </w:r>
      <w:r w:rsidR="00574EE2">
        <w:t>he most common</w:t>
      </w:r>
      <w:r>
        <w:t xml:space="preserve">ly reported reason for supervisor turnover </w:t>
      </w:r>
      <w:r w:rsidR="00574EE2">
        <w:t>was accepting another position with a higher salary (38%). Moving was the second most common reason (26%). Less common were promotion within the agency (15%), moving (8%), and retiring (3%). About 49% of participants indicated another reason for why a supervisor had left. Reasons cited more than once included leaving because of work stress and being hired by DCFS.</w:t>
      </w:r>
    </w:p>
    <w:p w14:paraId="17086E26" w14:textId="77777777" w:rsidR="00574EE2" w:rsidRDefault="00574EE2" w:rsidP="0016068E">
      <w:pPr>
        <w:spacing w:after="0"/>
      </w:pPr>
    </w:p>
    <w:p w14:paraId="39765609" w14:textId="5363E482" w:rsidR="00574EE2" w:rsidRDefault="00574EE2" w:rsidP="0016068E">
      <w:pPr>
        <w:spacing w:after="0"/>
      </w:pPr>
      <w:r>
        <w:t>Finally, employers were asked if they had any additional comments to share. Regarding staffing issues, the most commonly shared sentiment was that DCFS takes workers that private agencies have trained and mentored. For example, one employer wrote: "[Our]</w:t>
      </w:r>
      <w:r w:rsidRPr="00172B40">
        <w:t xml:space="preserve"> program is</w:t>
      </w:r>
      <w:r>
        <w:t xml:space="preserve"> [highly regarded]</w:t>
      </w:r>
      <w:r w:rsidRPr="00172B40">
        <w:t xml:space="preserve"> and is very stable, </w:t>
      </w:r>
      <w:r>
        <w:t>but</w:t>
      </w:r>
      <w:r w:rsidRPr="00172B40">
        <w:t xml:space="preserve"> the program still lost 50% of its case managers to DCFS</w:t>
      </w:r>
      <w:r>
        <w:t>—</w:t>
      </w:r>
      <w:r w:rsidRPr="00172B40">
        <w:t>high salary, easier job.</w:t>
      </w:r>
      <w:r>
        <w:t>" Another employer shared their view on the full costs of turnover: "</w:t>
      </w:r>
      <w:r w:rsidRPr="0058338D">
        <w:t>The impact of turnover in child welfare positions goes well beyond the financial cost of recruitment, onboarding and training of new team members. The loss of established relationships and programmatic stability has a dramatic effect our youth both emotionally and physically. Even though we have been very successful in mediating those effects, we know our outcomes could be improved if our staffing capacity was less disruptive.</w:t>
      </w:r>
      <w:r>
        <w:t xml:space="preserve">" </w:t>
      </w:r>
    </w:p>
    <w:p w14:paraId="0BCF73E2" w14:textId="77777777" w:rsidR="00574EE2" w:rsidRDefault="00574EE2" w:rsidP="0016068E">
      <w:pPr>
        <w:spacing w:after="0"/>
      </w:pPr>
    </w:p>
    <w:p w14:paraId="309D6C0F" w14:textId="77777777" w:rsidR="00574EE2" w:rsidRPr="00D514C2" w:rsidRDefault="00574EE2" w:rsidP="0016068E">
      <w:pPr>
        <w:spacing w:after="0"/>
      </w:pPr>
      <w:r>
        <w:t>Other employers shared information about the strenuous nature of child welfare work. One employer explained turnover as the result of how staff are treated: "T</w:t>
      </w:r>
      <w:r w:rsidRPr="0058338D">
        <w:t>urnover is high</w:t>
      </w:r>
      <w:r>
        <w:t xml:space="preserve"> [because] </w:t>
      </w:r>
      <w:r w:rsidRPr="0058338D">
        <w:t xml:space="preserve">treatment of staff at court with CASA </w:t>
      </w:r>
      <w:r>
        <w:t xml:space="preserve">[is] </w:t>
      </w:r>
      <w:r w:rsidRPr="0058338D">
        <w:t xml:space="preserve">demeaning. Treatment from parents </w:t>
      </w:r>
      <w:r>
        <w:t xml:space="preserve">[is] </w:t>
      </w:r>
      <w:r w:rsidRPr="0058338D">
        <w:t>negative and degrading.</w:t>
      </w:r>
      <w:r>
        <w:t>" Another employer cited bureaucratic demands of the work: "T</w:t>
      </w:r>
      <w:r w:rsidRPr="00BE687B">
        <w:t>he documentation has increased dramatically. There are different documents used to assess the family's needs; however policy has not been updated and therefore creates confusion regarding what documents have to be completed.</w:t>
      </w:r>
      <w:r>
        <w:t>" To stay in child welfare even with these difficulties, one employer said, "</w:t>
      </w:r>
      <w:r w:rsidRPr="00BE687B">
        <w:t>Workers must have a true dedication to the field</w:t>
      </w:r>
      <w:r>
        <w:t>."</w:t>
      </w:r>
    </w:p>
    <w:p w14:paraId="4CB41D5A" w14:textId="1974D22A" w:rsidR="004D7405" w:rsidRDefault="004D7405" w:rsidP="005D02A7">
      <w:pPr>
        <w:pStyle w:val="Heading1"/>
        <w:spacing w:before="0" w:after="0"/>
      </w:pPr>
      <w:bookmarkStart w:id="36" w:name="_Toc52403573"/>
      <w:r>
        <w:t>Chapter 4:  Task Force Recommendations</w:t>
      </w:r>
      <w:bookmarkEnd w:id="36"/>
    </w:p>
    <w:p w14:paraId="51621F18" w14:textId="6C1DC24E" w:rsidR="00115BEF" w:rsidRPr="00115BEF" w:rsidRDefault="00115BEF" w:rsidP="004D7405">
      <w:r w:rsidRPr="00115BEF">
        <w:t xml:space="preserve"> </w:t>
      </w:r>
    </w:p>
    <w:p w14:paraId="3C4FAF0A" w14:textId="74C3EF63" w:rsidR="00115BEF" w:rsidRDefault="00111413" w:rsidP="00115BEF">
      <w:pPr>
        <w:spacing w:after="0"/>
        <w:rPr>
          <w:rFonts w:ascii="Calibri" w:eastAsia="Times New Roman" w:hAnsi="Calibri" w:cs="Calibri"/>
          <w:szCs w:val="24"/>
        </w:rPr>
      </w:pPr>
      <w:r>
        <w:rPr>
          <w:rFonts w:ascii="Calibri" w:eastAsia="Times New Roman" w:hAnsi="Calibri" w:cs="Calibri"/>
          <w:szCs w:val="24"/>
        </w:rPr>
        <w:t xml:space="preserve">Three task force subcommittees were created to focus on reviewing information and making recommendations related to the following topics: child welfare worker recruitment, retention, and racial equity. </w:t>
      </w:r>
      <w:r w:rsidR="0067392B">
        <w:rPr>
          <w:rFonts w:ascii="Calibri" w:eastAsia="Times New Roman" w:hAnsi="Calibri" w:cs="Calibri"/>
          <w:szCs w:val="24"/>
        </w:rPr>
        <w:t>Each sub-committee met for a period of several weeks and developed recommendations related to their content area.</w:t>
      </w:r>
      <w:r w:rsidR="00666E83">
        <w:rPr>
          <w:rFonts w:ascii="Calibri" w:eastAsia="Times New Roman" w:hAnsi="Calibri" w:cs="Calibri"/>
          <w:szCs w:val="24"/>
        </w:rPr>
        <w:t xml:space="preserve"> </w:t>
      </w:r>
    </w:p>
    <w:p w14:paraId="0F581CD0" w14:textId="277F2414" w:rsidR="00111413" w:rsidRDefault="00111413" w:rsidP="00115BEF">
      <w:pPr>
        <w:spacing w:after="0"/>
        <w:rPr>
          <w:rFonts w:ascii="Calibri" w:eastAsia="Times New Roman" w:hAnsi="Calibri" w:cs="Calibri"/>
          <w:szCs w:val="24"/>
        </w:rPr>
      </w:pPr>
    </w:p>
    <w:p w14:paraId="5397D906" w14:textId="6C648706" w:rsidR="00111413" w:rsidRPr="00666E83" w:rsidRDefault="00111413" w:rsidP="00666E83">
      <w:pPr>
        <w:pStyle w:val="Heading2"/>
        <w:spacing w:before="0" w:after="0"/>
        <w:rPr>
          <w:rFonts w:cstheme="majorHAnsi"/>
          <w:sz w:val="24"/>
          <w:szCs w:val="24"/>
        </w:rPr>
      </w:pPr>
      <w:bookmarkStart w:id="37" w:name="_Toc52403574"/>
      <w:r w:rsidRPr="00666E83">
        <w:rPr>
          <w:rFonts w:cstheme="majorHAnsi"/>
          <w:sz w:val="24"/>
          <w:szCs w:val="24"/>
        </w:rPr>
        <w:t>4.1</w:t>
      </w:r>
      <w:r w:rsidRPr="00666E83">
        <w:rPr>
          <w:rFonts w:cstheme="majorHAnsi"/>
          <w:sz w:val="24"/>
          <w:szCs w:val="24"/>
        </w:rPr>
        <w:tab/>
        <w:t>Child Welfare Worker Recruitment</w:t>
      </w:r>
      <w:bookmarkEnd w:id="37"/>
      <w:r w:rsidRPr="00666E83">
        <w:rPr>
          <w:rFonts w:cstheme="majorHAnsi"/>
          <w:sz w:val="24"/>
          <w:szCs w:val="24"/>
        </w:rPr>
        <w:t xml:space="preserve"> </w:t>
      </w:r>
    </w:p>
    <w:p w14:paraId="33CB885A" w14:textId="77777777" w:rsidR="00666E83" w:rsidRPr="00666E83" w:rsidRDefault="00666E83" w:rsidP="00666E83">
      <w:pPr>
        <w:spacing w:after="0"/>
        <w:rPr>
          <w:rFonts w:cstheme="majorHAnsi"/>
          <w:color w:val="000000" w:themeColor="text1"/>
          <w:szCs w:val="24"/>
          <w:shd w:val="clear" w:color="auto" w:fill="FFFFFF"/>
        </w:rPr>
      </w:pPr>
    </w:p>
    <w:p w14:paraId="54623393" w14:textId="1BD464EB" w:rsidR="00666E83" w:rsidRDefault="0067392B" w:rsidP="00F5043C">
      <w:pPr>
        <w:spacing w:after="0"/>
        <w:rPr>
          <w:rFonts w:cstheme="majorHAnsi"/>
          <w:color w:val="000000" w:themeColor="text1"/>
          <w:szCs w:val="24"/>
          <w:shd w:val="clear" w:color="auto" w:fill="FFFFFF"/>
        </w:rPr>
      </w:pPr>
      <w:r>
        <w:rPr>
          <w:rFonts w:cstheme="majorHAnsi"/>
          <w:color w:val="000000" w:themeColor="text1"/>
          <w:szCs w:val="24"/>
          <w:shd w:val="clear" w:color="auto" w:fill="FFFFFF"/>
        </w:rPr>
        <w:t>T</w:t>
      </w:r>
      <w:r w:rsidR="00666E83" w:rsidRPr="00666E83">
        <w:rPr>
          <w:rFonts w:cstheme="majorHAnsi"/>
          <w:color w:val="000000" w:themeColor="text1"/>
          <w:szCs w:val="24"/>
          <w:shd w:val="clear" w:color="auto" w:fill="FFFFFF"/>
        </w:rPr>
        <w:t>he subcommittee</w:t>
      </w:r>
      <w:r>
        <w:rPr>
          <w:rFonts w:cstheme="majorHAnsi"/>
          <w:color w:val="000000" w:themeColor="text1"/>
          <w:szCs w:val="24"/>
          <w:shd w:val="clear" w:color="auto" w:fill="FFFFFF"/>
        </w:rPr>
        <w:t>,</w:t>
      </w:r>
      <w:r w:rsidR="00666E83" w:rsidRPr="00666E83">
        <w:rPr>
          <w:rFonts w:cstheme="majorHAnsi"/>
          <w:color w:val="000000" w:themeColor="text1"/>
          <w:szCs w:val="24"/>
          <w:shd w:val="clear" w:color="auto" w:fill="FFFFFF"/>
        </w:rPr>
        <w:t xml:space="preserve"> along with DCFS staff, </w:t>
      </w:r>
      <w:r>
        <w:rPr>
          <w:rFonts w:cstheme="majorHAnsi"/>
          <w:color w:val="000000" w:themeColor="text1"/>
          <w:szCs w:val="24"/>
          <w:shd w:val="clear" w:color="auto" w:fill="FFFFFF"/>
        </w:rPr>
        <w:t xml:space="preserve">met to discuss </w:t>
      </w:r>
      <w:r w:rsidR="00666E83" w:rsidRPr="00666E83">
        <w:rPr>
          <w:rFonts w:cstheme="majorHAnsi"/>
          <w:color w:val="000000" w:themeColor="text1"/>
          <w:szCs w:val="24"/>
          <w:shd w:val="clear" w:color="auto" w:fill="FFFFFF"/>
        </w:rPr>
        <w:t>various concerns and possible solutions to the recruitment of qualified and committed staff to the child welfare system. Of particular concern was the recruitment and retention of staff to P</w:t>
      </w:r>
      <w:r w:rsidR="00666E83">
        <w:rPr>
          <w:rFonts w:cstheme="majorHAnsi"/>
          <w:color w:val="000000" w:themeColor="text1"/>
          <w:szCs w:val="24"/>
          <w:shd w:val="clear" w:color="auto" w:fill="FFFFFF"/>
        </w:rPr>
        <w:t>urchase</w:t>
      </w:r>
      <w:r w:rsidR="00666E83" w:rsidRPr="00666E83">
        <w:rPr>
          <w:rFonts w:cstheme="majorHAnsi"/>
          <w:color w:val="000000" w:themeColor="text1"/>
          <w:szCs w:val="24"/>
          <w:shd w:val="clear" w:color="auto" w:fill="FFFFFF"/>
        </w:rPr>
        <w:t xml:space="preserve"> of Service </w:t>
      </w:r>
      <w:r w:rsidR="00666E83">
        <w:rPr>
          <w:rFonts w:cstheme="majorHAnsi"/>
          <w:color w:val="000000" w:themeColor="text1"/>
          <w:szCs w:val="24"/>
          <w:shd w:val="clear" w:color="auto" w:fill="FFFFFF"/>
        </w:rPr>
        <w:t xml:space="preserve">(POS) </w:t>
      </w:r>
      <w:r w:rsidR="00666E83" w:rsidRPr="00666E83">
        <w:rPr>
          <w:rFonts w:cstheme="majorHAnsi"/>
          <w:color w:val="000000" w:themeColor="text1"/>
          <w:szCs w:val="24"/>
          <w:shd w:val="clear" w:color="auto" w:fill="FFFFFF"/>
        </w:rPr>
        <w:t>agencies. The following recommendations and concerns highlight our discussion and are submitted as a </w:t>
      </w:r>
      <w:r w:rsidR="00666E83" w:rsidRPr="00666E83">
        <w:rPr>
          <w:rStyle w:val="il"/>
          <w:rFonts w:cstheme="majorHAnsi"/>
          <w:color w:val="000000" w:themeColor="text1"/>
          <w:szCs w:val="24"/>
          <w:shd w:val="clear" w:color="auto" w:fill="FFFFFF"/>
        </w:rPr>
        <w:t>report</w:t>
      </w:r>
      <w:r w:rsidR="00666E83" w:rsidRPr="00666E83">
        <w:rPr>
          <w:rFonts w:cstheme="majorHAnsi"/>
          <w:color w:val="000000" w:themeColor="text1"/>
          <w:szCs w:val="24"/>
          <w:shd w:val="clear" w:color="auto" w:fill="FFFFFF"/>
        </w:rPr>
        <w:t> to the task force:</w:t>
      </w:r>
    </w:p>
    <w:p w14:paraId="1B628C59" w14:textId="77777777" w:rsidR="00666E83" w:rsidRPr="00666E83" w:rsidRDefault="00666E83" w:rsidP="00F5043C">
      <w:pPr>
        <w:spacing w:after="0"/>
        <w:rPr>
          <w:rFonts w:cstheme="majorHAnsi"/>
          <w:color w:val="000000" w:themeColor="text1"/>
          <w:szCs w:val="24"/>
          <w:shd w:val="clear" w:color="auto" w:fill="FFFFFF"/>
        </w:rPr>
      </w:pPr>
    </w:p>
    <w:p w14:paraId="757DDAF0" w14:textId="5369814C" w:rsidR="00666E83" w:rsidRPr="00666E83" w:rsidRDefault="00666E83" w:rsidP="00F5043C">
      <w:pPr>
        <w:pStyle w:val="ListParagraph"/>
        <w:numPr>
          <w:ilvl w:val="0"/>
          <w:numId w:val="40"/>
        </w:numPr>
        <w:spacing w:after="0"/>
        <w:rPr>
          <w:rFonts w:cstheme="majorHAnsi"/>
          <w:color w:val="000000" w:themeColor="text1"/>
          <w:szCs w:val="24"/>
        </w:rPr>
      </w:pPr>
      <w:r w:rsidRPr="00666E83">
        <w:rPr>
          <w:rFonts w:cstheme="majorHAnsi"/>
          <w:color w:val="000000" w:themeColor="text1"/>
          <w:szCs w:val="24"/>
        </w:rPr>
        <w:t>Creation of a five-year pilot program, funded by a 75% match from the federal government, to provide an annual $10,000 financial aid stipend to undergraduate and graduate social work students specializing in child welfare. Forty states currently have such programs. The goals of the stipend program are to attract men and women to careers in child welfare and to help fix the retention problem at POS organizations by reducing the student loan debt of beginning child welfare specialists.</w:t>
      </w:r>
      <w:r w:rsidRPr="00666E83">
        <w:rPr>
          <w:rFonts w:cstheme="majorHAnsi"/>
          <w:color w:val="000000" w:themeColor="text1"/>
          <w:szCs w:val="24"/>
        </w:rPr>
        <w:br/>
      </w:r>
    </w:p>
    <w:p w14:paraId="78451EAC" w14:textId="77777777" w:rsidR="00666E83" w:rsidRPr="00666E83" w:rsidRDefault="00666E83" w:rsidP="00F5043C">
      <w:pPr>
        <w:spacing w:after="0"/>
        <w:ind w:left="720"/>
        <w:rPr>
          <w:rFonts w:cstheme="majorHAnsi"/>
          <w:color w:val="000000" w:themeColor="text1"/>
          <w:szCs w:val="24"/>
        </w:rPr>
      </w:pPr>
      <w:r w:rsidRPr="00666E83">
        <w:rPr>
          <w:rFonts w:cstheme="majorHAnsi"/>
          <w:color w:val="000000" w:themeColor="text1"/>
          <w:szCs w:val="24"/>
        </w:rPr>
        <w:t>DCFS staff led by Meaghan Jorgensen are designing the program for a Fall 2020 launch at five universities chosen because they are DCFS University Partnership Program participants. Each school is to receive ten stipends. The number of annual stipends is expected to increase after the first year of the program.</w:t>
      </w:r>
      <w:r w:rsidRPr="00666E83">
        <w:rPr>
          <w:rFonts w:cstheme="majorHAnsi"/>
          <w:color w:val="000000" w:themeColor="text1"/>
          <w:szCs w:val="24"/>
        </w:rPr>
        <w:br/>
      </w:r>
    </w:p>
    <w:p w14:paraId="0EB6A57F" w14:textId="5FB07323" w:rsidR="00666E83" w:rsidRDefault="00666E83" w:rsidP="00F5043C">
      <w:pPr>
        <w:spacing w:after="0"/>
        <w:ind w:left="720"/>
        <w:rPr>
          <w:rFonts w:cstheme="majorHAnsi"/>
          <w:color w:val="000000" w:themeColor="text1"/>
          <w:szCs w:val="24"/>
        </w:rPr>
      </w:pPr>
      <w:r w:rsidRPr="00666E83">
        <w:rPr>
          <w:rFonts w:cstheme="majorHAnsi"/>
          <w:color w:val="000000" w:themeColor="text1"/>
          <w:szCs w:val="24"/>
        </w:rPr>
        <w:t>In order to satisfy the program’s payback requirement, stipend recipients will be required to work for a minimum number of years for a POS organization which contracts with DCFS.</w:t>
      </w:r>
    </w:p>
    <w:p w14:paraId="0F3DF596" w14:textId="77777777" w:rsidR="00666E83" w:rsidRPr="00666E83" w:rsidRDefault="00666E83" w:rsidP="00F5043C">
      <w:pPr>
        <w:spacing w:after="0"/>
        <w:ind w:left="720"/>
        <w:rPr>
          <w:rFonts w:cstheme="majorHAnsi"/>
          <w:color w:val="000000" w:themeColor="text1"/>
          <w:szCs w:val="24"/>
        </w:rPr>
      </w:pPr>
    </w:p>
    <w:p w14:paraId="0FF7BA1A" w14:textId="0CB2017F" w:rsidR="00666E83" w:rsidRDefault="00666E83" w:rsidP="00F5043C">
      <w:pPr>
        <w:pStyle w:val="ListParagraph"/>
        <w:numPr>
          <w:ilvl w:val="0"/>
          <w:numId w:val="40"/>
        </w:numPr>
        <w:spacing w:after="0"/>
        <w:contextualSpacing w:val="0"/>
        <w:rPr>
          <w:rFonts w:cstheme="majorHAnsi"/>
          <w:color w:val="000000" w:themeColor="text1"/>
          <w:szCs w:val="24"/>
          <w:shd w:val="clear" w:color="auto" w:fill="FFFFFF"/>
        </w:rPr>
      </w:pPr>
      <w:r w:rsidRPr="00666E83">
        <w:rPr>
          <w:rFonts w:cstheme="majorHAnsi"/>
          <w:color w:val="000000" w:themeColor="text1"/>
          <w:szCs w:val="24"/>
          <w:shd w:val="clear" w:color="auto" w:fill="FFFFFF"/>
        </w:rPr>
        <w:t>With any pilot program, especially one that will take not less than five years to see the fruits of this work, we ask that an evidence-based and statistically accurate review of these stipend opportunities be documented and a </w:t>
      </w:r>
      <w:r w:rsidRPr="00666E83">
        <w:rPr>
          <w:rStyle w:val="il"/>
          <w:rFonts w:cstheme="majorHAnsi"/>
          <w:color w:val="000000" w:themeColor="text1"/>
          <w:szCs w:val="24"/>
          <w:shd w:val="clear" w:color="auto" w:fill="FFFFFF"/>
        </w:rPr>
        <w:t>report</w:t>
      </w:r>
      <w:r w:rsidRPr="00666E83">
        <w:rPr>
          <w:rFonts w:cstheme="majorHAnsi"/>
          <w:color w:val="000000" w:themeColor="text1"/>
          <w:szCs w:val="24"/>
          <w:shd w:val="clear" w:color="auto" w:fill="FFFFFF"/>
        </w:rPr>
        <w:t> submitted to members of the General Assembly in 2021, 2022, 2023, and 2024.  Tracking the progress of individuals and the work of the universities associated with these programs will be extremely beneficial to all stakeholders.</w:t>
      </w:r>
    </w:p>
    <w:p w14:paraId="23F02B59" w14:textId="77777777" w:rsidR="00666E83" w:rsidRPr="00666E83" w:rsidRDefault="00666E83" w:rsidP="00F5043C">
      <w:pPr>
        <w:pStyle w:val="ListParagraph"/>
        <w:spacing w:after="0"/>
        <w:contextualSpacing w:val="0"/>
        <w:rPr>
          <w:rFonts w:cstheme="majorHAnsi"/>
          <w:color w:val="000000" w:themeColor="text1"/>
          <w:szCs w:val="24"/>
          <w:shd w:val="clear" w:color="auto" w:fill="FFFFFF"/>
        </w:rPr>
      </w:pPr>
    </w:p>
    <w:p w14:paraId="01CBFC14" w14:textId="0F1B12C4" w:rsidR="00F5043C" w:rsidRPr="00666E83" w:rsidRDefault="00666E83" w:rsidP="00F5043C">
      <w:pPr>
        <w:pStyle w:val="ListParagraph"/>
        <w:numPr>
          <w:ilvl w:val="0"/>
          <w:numId w:val="40"/>
        </w:numPr>
        <w:spacing w:after="0"/>
        <w:contextualSpacing w:val="0"/>
        <w:rPr>
          <w:rFonts w:cstheme="majorHAnsi"/>
          <w:color w:val="000000" w:themeColor="text1"/>
          <w:szCs w:val="24"/>
        </w:rPr>
      </w:pPr>
      <w:r w:rsidRPr="00666E83">
        <w:rPr>
          <w:rFonts w:cstheme="majorHAnsi"/>
          <w:color w:val="000000" w:themeColor="text1"/>
          <w:szCs w:val="24"/>
          <w:shd w:val="clear" w:color="auto" w:fill="FFFFFF"/>
        </w:rPr>
        <w:t xml:space="preserve">The Recruitment Subcommittee suggests that the stipend program include </w:t>
      </w:r>
      <w:r>
        <w:rPr>
          <w:rFonts w:cstheme="majorHAnsi"/>
          <w:color w:val="000000" w:themeColor="text1"/>
          <w:szCs w:val="24"/>
          <w:shd w:val="clear" w:color="auto" w:fill="FFFFFF"/>
        </w:rPr>
        <w:t>o</w:t>
      </w:r>
      <w:r w:rsidRPr="00666E83">
        <w:rPr>
          <w:rFonts w:cstheme="majorHAnsi"/>
          <w:color w:val="000000" w:themeColor="text1"/>
          <w:szCs w:val="24"/>
          <w:shd w:val="clear" w:color="auto" w:fill="FFFFFF"/>
        </w:rPr>
        <w:t xml:space="preserve">pportunities for stipend recipients to decide early on if child welfare is a good fit for them. Activities suggested to accomplish this are job shadowing, internships, visits to a </w:t>
      </w:r>
      <w:r w:rsidR="00F5043C">
        <w:rPr>
          <w:rFonts w:cstheme="majorHAnsi"/>
          <w:color w:val="000000" w:themeColor="text1"/>
          <w:szCs w:val="24"/>
          <w:shd w:val="clear" w:color="auto" w:fill="FFFFFF"/>
        </w:rPr>
        <w:t xml:space="preserve">Child Protection Training Academy simulation laboratory </w:t>
      </w:r>
      <w:r w:rsidRPr="00666E83">
        <w:rPr>
          <w:rFonts w:cstheme="majorHAnsi"/>
          <w:color w:val="000000" w:themeColor="text1"/>
          <w:szCs w:val="24"/>
          <w:shd w:val="clear" w:color="auto" w:fill="FFFFFF"/>
        </w:rPr>
        <w:t>and attendance at professional conferences.</w:t>
      </w:r>
      <w:r w:rsidR="00F5043C">
        <w:rPr>
          <w:rFonts w:cstheme="majorHAnsi"/>
          <w:color w:val="000000" w:themeColor="text1"/>
          <w:szCs w:val="24"/>
          <w:shd w:val="clear" w:color="auto" w:fill="FFFFFF"/>
        </w:rPr>
        <w:t xml:space="preserve"> </w:t>
      </w:r>
      <w:r w:rsidR="00F5043C" w:rsidRPr="00666E83">
        <w:rPr>
          <w:rFonts w:cstheme="majorHAnsi"/>
          <w:color w:val="000000" w:themeColor="text1"/>
          <w:szCs w:val="24"/>
          <w:shd w:val="clear" w:color="auto" w:fill="FFFFFF"/>
        </w:rPr>
        <w:t xml:space="preserve">The subcommittee believes that giving new employees or individuals considering employment at either DCFS or a POS the opportunity to visit and participate in a </w:t>
      </w:r>
      <w:r w:rsidR="00695BCD">
        <w:rPr>
          <w:rFonts w:cstheme="majorHAnsi"/>
          <w:color w:val="000000" w:themeColor="text1"/>
          <w:szCs w:val="24"/>
          <w:shd w:val="clear" w:color="auto" w:fill="FFFFFF"/>
        </w:rPr>
        <w:t xml:space="preserve">simulation laboratory </w:t>
      </w:r>
      <w:r w:rsidR="00F5043C" w:rsidRPr="00666E83">
        <w:rPr>
          <w:rFonts w:cstheme="majorHAnsi"/>
          <w:color w:val="000000" w:themeColor="text1"/>
          <w:szCs w:val="24"/>
          <w:shd w:val="clear" w:color="auto" w:fill="FFFFFF"/>
        </w:rPr>
        <w:t>is important. We want especially those students who will be benefiting from state dollars through the stipend program to understand the type of work that they will be expected to engage in.</w:t>
      </w:r>
    </w:p>
    <w:p w14:paraId="1B8BE4BA" w14:textId="77777777" w:rsidR="00F5043C" w:rsidRPr="00F5043C" w:rsidRDefault="00F5043C" w:rsidP="00F5043C">
      <w:pPr>
        <w:pStyle w:val="ListParagraph"/>
        <w:spacing w:after="0"/>
        <w:rPr>
          <w:rFonts w:cstheme="majorHAnsi"/>
          <w:color w:val="000000" w:themeColor="text1"/>
          <w:szCs w:val="24"/>
          <w:shd w:val="clear" w:color="auto" w:fill="FFFFFF"/>
        </w:rPr>
      </w:pPr>
    </w:p>
    <w:p w14:paraId="5298437C" w14:textId="77777777" w:rsidR="00BC1837" w:rsidRPr="00BC1837" w:rsidRDefault="00666E83" w:rsidP="00982B66">
      <w:pPr>
        <w:pStyle w:val="ListParagraph"/>
        <w:numPr>
          <w:ilvl w:val="0"/>
          <w:numId w:val="40"/>
        </w:numPr>
        <w:spacing w:after="0"/>
        <w:contextualSpacing w:val="0"/>
        <w:rPr>
          <w:rFonts w:eastAsia="Times New Roman" w:cstheme="majorHAnsi"/>
          <w:szCs w:val="24"/>
        </w:rPr>
      </w:pPr>
      <w:r w:rsidRPr="00F5043C">
        <w:rPr>
          <w:rFonts w:cstheme="majorHAnsi"/>
          <w:color w:val="000000" w:themeColor="text1"/>
          <w:szCs w:val="24"/>
          <w:shd w:val="clear" w:color="auto" w:fill="FFFFFF"/>
        </w:rPr>
        <w:t>In the course of our conversations with staff, we became aware of two full-time staff positions within DCFS that act as recruiters for new employees of the agency specifically at colleges and universities. These recruiters attend job fairs, create postings, and interface with institutions of higher learning across Illinois. It is our recommendation that these positions be critically evaluated because they do not on the face of it appear to be the most efficient or effective use of DCFS dollars. This evaluation from the agency should be delivered to members of this task force within the next year.</w:t>
      </w:r>
      <w:r w:rsidRPr="00F5043C">
        <w:rPr>
          <w:rFonts w:cstheme="majorHAnsi"/>
          <w:color w:val="000000" w:themeColor="text1"/>
          <w:szCs w:val="24"/>
          <w:shd w:val="clear" w:color="auto" w:fill="FFFFFF"/>
        </w:rPr>
        <w:br/>
      </w:r>
    </w:p>
    <w:p w14:paraId="135D8EC3" w14:textId="77777777" w:rsidR="00BC1837" w:rsidRDefault="00BC1837" w:rsidP="00982B66">
      <w:pPr>
        <w:pStyle w:val="Heading2"/>
        <w:spacing w:before="0" w:after="0"/>
        <w:rPr>
          <w:shd w:val="clear" w:color="auto" w:fill="FFFFFF"/>
        </w:rPr>
      </w:pPr>
      <w:bookmarkStart w:id="38" w:name="_Toc52403575"/>
      <w:r>
        <w:rPr>
          <w:shd w:val="clear" w:color="auto" w:fill="FFFFFF"/>
        </w:rPr>
        <w:t>4.2</w:t>
      </w:r>
      <w:r>
        <w:rPr>
          <w:shd w:val="clear" w:color="auto" w:fill="FFFFFF"/>
        </w:rPr>
        <w:tab/>
        <w:t>Child Welfare Worker Retention</w:t>
      </w:r>
      <w:bookmarkEnd w:id="38"/>
      <w:r>
        <w:rPr>
          <w:shd w:val="clear" w:color="auto" w:fill="FFFFFF"/>
        </w:rPr>
        <w:t xml:space="preserve"> </w:t>
      </w:r>
    </w:p>
    <w:p w14:paraId="5399B063" w14:textId="77777777" w:rsidR="000A709B" w:rsidRDefault="000A709B" w:rsidP="00982B66">
      <w:pPr>
        <w:spacing w:after="0"/>
        <w:rPr>
          <w:shd w:val="clear" w:color="auto" w:fill="FFFFFF"/>
        </w:rPr>
      </w:pPr>
    </w:p>
    <w:p w14:paraId="72A66334" w14:textId="3E8B80B5" w:rsidR="00925AE7" w:rsidRDefault="00925AE7" w:rsidP="00982B66">
      <w:pPr>
        <w:spacing w:after="0"/>
      </w:pPr>
      <w:r w:rsidRPr="00933735">
        <w:rPr>
          <w:b/>
          <w:bCs/>
        </w:rPr>
        <w:t>Recommendation #1: Reduce or minimize the burden of necessary paperwork required for child welfare direct services staff.</w:t>
      </w:r>
      <w:r>
        <w:t xml:space="preserve"> </w:t>
      </w:r>
    </w:p>
    <w:p w14:paraId="08D565D1" w14:textId="77777777" w:rsidR="00982B66" w:rsidRDefault="00982B66" w:rsidP="00982B66">
      <w:pPr>
        <w:spacing w:after="0"/>
      </w:pPr>
    </w:p>
    <w:p w14:paraId="7438B056" w14:textId="40E6D7C3" w:rsidR="00925AE7" w:rsidRDefault="00925AE7" w:rsidP="00982B66">
      <w:pPr>
        <w:spacing w:after="0"/>
        <w:ind w:left="720"/>
      </w:pPr>
      <w:r>
        <w:t xml:space="preserve">The increasing amount of paperwork resulting from duplicated processes and other administrative requirements may create an overwhelming burden and can take away from staff’s engagement with families. Further discussions with the DCFS Immersion Site Ad Hoc Advisory Group and review of the Workforce Development Subcommittee recommendations point to approaches that minimize paperwork without sacrificing necessary documentation.  </w:t>
      </w:r>
    </w:p>
    <w:p w14:paraId="72F03BEA" w14:textId="77777777" w:rsidR="00982B66" w:rsidRDefault="00982B66" w:rsidP="00982B66">
      <w:pPr>
        <w:spacing w:after="0"/>
        <w:ind w:left="720"/>
      </w:pPr>
    </w:p>
    <w:p w14:paraId="3DD1BA1F" w14:textId="5D3BE522" w:rsidR="00925AE7" w:rsidRDefault="00925AE7" w:rsidP="00982B66">
      <w:pPr>
        <w:spacing w:after="0"/>
        <w:rPr>
          <w:b/>
          <w:bCs/>
        </w:rPr>
      </w:pPr>
      <w:r w:rsidRPr="00140074">
        <w:rPr>
          <w:b/>
          <w:bCs/>
        </w:rPr>
        <w:t xml:space="preserve">Recommendation #2: Supervisors serve as the cornerstone for direct practice.  Supervisors should be supported and appropriately trained to effect best practices and encourage team building. </w:t>
      </w:r>
    </w:p>
    <w:p w14:paraId="6837CEB1" w14:textId="77777777" w:rsidR="002F427F" w:rsidRPr="00140074" w:rsidRDefault="002F427F" w:rsidP="00982B66">
      <w:pPr>
        <w:spacing w:after="0"/>
        <w:rPr>
          <w:b/>
          <w:bCs/>
        </w:rPr>
      </w:pPr>
    </w:p>
    <w:p w14:paraId="31DDF9E0" w14:textId="0D1B3ADB" w:rsidR="00925AE7" w:rsidRDefault="00925AE7" w:rsidP="002F427F">
      <w:pPr>
        <w:spacing w:after="0"/>
        <w:ind w:left="720"/>
      </w:pPr>
      <w:r>
        <w:t xml:space="preserve">Policy and procedure used as a ‘supervisory tool’ for staff that do not have a specific child welfare practice associated with </w:t>
      </w:r>
      <w:r w:rsidR="002F427F">
        <w:t xml:space="preserve">it should be eliminated. </w:t>
      </w:r>
      <w:r>
        <w:t>Training should be provided to supervisors to address supervision issues.</w:t>
      </w:r>
      <w:r w:rsidR="002F427F">
        <w:t xml:space="preserve"> </w:t>
      </w:r>
      <w:r>
        <w:t xml:space="preserve">The Department should embrace wide-spread use of problem-based learning and expand beyond investigations to the direct </w:t>
      </w:r>
      <w:r w:rsidR="002F427F">
        <w:t xml:space="preserve">service foster care workforce. </w:t>
      </w:r>
      <w:r>
        <w:t>Problem-based learning for supervisors will reinforce critical thinking and appropriate decision-making.</w:t>
      </w:r>
    </w:p>
    <w:p w14:paraId="3D8BB1F0" w14:textId="77777777" w:rsidR="002F427F" w:rsidRDefault="002F427F" w:rsidP="00982B66">
      <w:pPr>
        <w:spacing w:after="0"/>
        <w:rPr>
          <w:b/>
          <w:bCs/>
        </w:rPr>
      </w:pPr>
    </w:p>
    <w:p w14:paraId="2BC7CC36" w14:textId="329193F0" w:rsidR="00925AE7" w:rsidRDefault="00925AE7" w:rsidP="00982B66">
      <w:pPr>
        <w:spacing w:after="0"/>
        <w:rPr>
          <w:b/>
          <w:bCs/>
        </w:rPr>
      </w:pPr>
      <w:r>
        <w:rPr>
          <w:b/>
          <w:bCs/>
        </w:rPr>
        <w:t xml:space="preserve">Recommendation #3: Reports such as those published by the Illinois Office of the Inspector General should be reviewed and inform processes that decrease administrative burden on direct service staff. </w:t>
      </w:r>
    </w:p>
    <w:p w14:paraId="15E53CC0" w14:textId="77777777" w:rsidR="002F427F" w:rsidRPr="000564E0" w:rsidRDefault="002F427F" w:rsidP="00982B66">
      <w:pPr>
        <w:spacing w:after="0"/>
        <w:rPr>
          <w:b/>
          <w:bCs/>
        </w:rPr>
      </w:pPr>
    </w:p>
    <w:p w14:paraId="2AF1F22F" w14:textId="4F18F4C2" w:rsidR="00925AE7" w:rsidRDefault="00925AE7" w:rsidP="002F427F">
      <w:pPr>
        <w:spacing w:after="0"/>
        <w:ind w:left="720"/>
      </w:pPr>
      <w:r>
        <w:t>OIG recommendations from their annual reports should be reviewed to inform the decrease in administrative burden on direct service staff.</w:t>
      </w:r>
      <w:r w:rsidR="00E5308C">
        <w:t xml:space="preserve"> </w:t>
      </w:r>
      <w:r>
        <w:t xml:space="preserve">An analysis of prior recommendations should be completed to eliminate paper processes that are not critical to casework. </w:t>
      </w:r>
    </w:p>
    <w:p w14:paraId="1EE4C241" w14:textId="354131A1" w:rsidR="00925AE7" w:rsidRDefault="00925AE7" w:rsidP="00982B66">
      <w:pPr>
        <w:spacing w:after="0"/>
        <w:rPr>
          <w:b/>
          <w:bCs/>
        </w:rPr>
      </w:pPr>
      <w:r w:rsidRPr="002F4FE1">
        <w:rPr>
          <w:b/>
          <w:bCs/>
        </w:rPr>
        <w:t>Recommendation #</w:t>
      </w:r>
      <w:r>
        <w:rPr>
          <w:b/>
          <w:bCs/>
        </w:rPr>
        <w:t>4</w:t>
      </w:r>
      <w:r w:rsidRPr="002F4FE1">
        <w:rPr>
          <w:b/>
          <w:bCs/>
        </w:rPr>
        <w:t xml:space="preserve">: Support the implementation of strategies that show a positive impact on retention, such as a team-based approach to casework.  </w:t>
      </w:r>
    </w:p>
    <w:p w14:paraId="2119BAE4" w14:textId="77777777" w:rsidR="00E5308C" w:rsidRPr="002F4FE1" w:rsidRDefault="00E5308C" w:rsidP="00982B66">
      <w:pPr>
        <w:spacing w:after="0"/>
        <w:rPr>
          <w:b/>
          <w:bCs/>
        </w:rPr>
      </w:pPr>
    </w:p>
    <w:p w14:paraId="48FCEE89" w14:textId="77777777" w:rsidR="00925AE7" w:rsidRDefault="00925AE7" w:rsidP="00E5308C">
      <w:pPr>
        <w:spacing w:after="0"/>
        <w:ind w:left="720"/>
        <w:rPr>
          <w:b/>
          <w:bCs/>
        </w:rPr>
      </w:pPr>
      <w:r w:rsidRPr="00F7618D">
        <w:t>The Literature Review clearly points to the work</w:t>
      </w:r>
      <w:r>
        <w:t>load</w:t>
      </w:r>
      <w:r w:rsidRPr="00F7618D">
        <w:t xml:space="preserve"> experience of </w:t>
      </w:r>
      <w:r>
        <w:t>f</w:t>
      </w:r>
      <w:r w:rsidRPr="00F7618D">
        <w:t xml:space="preserve">oster </w:t>
      </w:r>
      <w:r>
        <w:t>c</w:t>
      </w:r>
      <w:r w:rsidRPr="00F7618D">
        <w:t xml:space="preserve">are </w:t>
      </w:r>
      <w:r>
        <w:t>w</w:t>
      </w:r>
      <w:r w:rsidRPr="00F7618D">
        <w:t xml:space="preserve">orkers as a major reason for turnover. The role of the </w:t>
      </w:r>
      <w:r>
        <w:t>f</w:t>
      </w:r>
      <w:r w:rsidRPr="00F7618D">
        <w:t xml:space="preserve">oster </w:t>
      </w:r>
      <w:r>
        <w:t>c</w:t>
      </w:r>
      <w:r w:rsidRPr="00F7618D">
        <w:t xml:space="preserve">are </w:t>
      </w:r>
      <w:r>
        <w:t>w</w:t>
      </w:r>
      <w:r w:rsidRPr="00F7618D">
        <w:t>orker is overload</w:t>
      </w:r>
      <w:r>
        <w:t>ed</w:t>
      </w:r>
      <w:r w:rsidRPr="00F7618D">
        <w:t xml:space="preserve">, with too much for a single worker to be responsible </w:t>
      </w:r>
      <w:r>
        <w:t xml:space="preserve">for while </w:t>
      </w:r>
      <w:r w:rsidRPr="00F7618D">
        <w:t xml:space="preserve">working </w:t>
      </w:r>
      <w:r>
        <w:t xml:space="preserve">to attain </w:t>
      </w:r>
      <w:r w:rsidRPr="00F7618D">
        <w:t xml:space="preserve">permanency </w:t>
      </w:r>
      <w:r>
        <w:t>for youth</w:t>
      </w:r>
      <w:r w:rsidRPr="00F7618D">
        <w:t>. A redesign that employs a team approach, supported by evidence</w:t>
      </w:r>
      <w:r>
        <w:t>-</w:t>
      </w:r>
      <w:r w:rsidRPr="00F7618D">
        <w:t>based practice</w:t>
      </w:r>
      <w:r>
        <w:t>,</w:t>
      </w:r>
      <w:r w:rsidRPr="00F7618D">
        <w:t xml:space="preserve"> will focus efforts through greater case coordination. Effective teams share in the workload and enhance the work experience. LSSI has presented an Integrated Redesign to DCFS Leadership as a Pilot Proposal and is under consideration (Executive Summary available).</w:t>
      </w:r>
      <w:r>
        <w:t xml:space="preserve"> </w:t>
      </w:r>
    </w:p>
    <w:p w14:paraId="24AB5E33" w14:textId="77777777" w:rsidR="00E5308C" w:rsidRDefault="00E5308C" w:rsidP="00982B66">
      <w:pPr>
        <w:spacing w:after="0"/>
        <w:rPr>
          <w:b/>
          <w:bCs/>
        </w:rPr>
      </w:pPr>
    </w:p>
    <w:p w14:paraId="2A57DD14" w14:textId="561953A9" w:rsidR="00925AE7" w:rsidRPr="00933735" w:rsidRDefault="00925AE7" w:rsidP="00982B66">
      <w:pPr>
        <w:spacing w:after="0"/>
        <w:rPr>
          <w:b/>
          <w:bCs/>
        </w:rPr>
      </w:pPr>
      <w:r>
        <w:rPr>
          <w:b/>
          <w:bCs/>
        </w:rPr>
        <w:t>Recommendation #5: Minimize or eliminate the salary disparity between direct service staff employed by DCFS and those in POS child welfare providers.</w:t>
      </w:r>
    </w:p>
    <w:p w14:paraId="0E4FE57F" w14:textId="77777777" w:rsidR="00E5308C" w:rsidRDefault="00E5308C" w:rsidP="00982B66">
      <w:pPr>
        <w:spacing w:after="0"/>
      </w:pPr>
    </w:p>
    <w:p w14:paraId="07C923E8" w14:textId="3E7C162A" w:rsidR="00925AE7" w:rsidRDefault="00925AE7" w:rsidP="00E5308C">
      <w:pPr>
        <w:spacing w:after="0"/>
        <w:ind w:left="720"/>
      </w:pPr>
      <w:r>
        <w:t>The case management and administrative fee model presented to the committee by DCFS highlights the lack of investment i</w:t>
      </w:r>
      <w:r w:rsidR="00E5308C">
        <w:t xml:space="preserve">n community-based foster care. </w:t>
      </w:r>
      <w:r>
        <w:t xml:space="preserve">A rate methodology that will allow DCFS to provide investment in the community-based system should be adopted. Those investments should focus on enhancing direct service staff salary and benefits to help stabilize the workforce. </w:t>
      </w:r>
    </w:p>
    <w:p w14:paraId="4A733460" w14:textId="77777777" w:rsidR="00925AE7" w:rsidRPr="002F4FE1" w:rsidRDefault="00925AE7" w:rsidP="00982B66">
      <w:pPr>
        <w:spacing w:after="0"/>
        <w:rPr>
          <w:i/>
          <w:iCs/>
        </w:rPr>
      </w:pPr>
    </w:p>
    <w:p w14:paraId="40AD3073" w14:textId="77777777" w:rsidR="00925AE7" w:rsidRPr="00933735" w:rsidRDefault="00925AE7" w:rsidP="00982B66">
      <w:pPr>
        <w:spacing w:after="0"/>
        <w:rPr>
          <w:b/>
          <w:bCs/>
        </w:rPr>
      </w:pPr>
      <w:r>
        <w:rPr>
          <w:b/>
          <w:bCs/>
        </w:rPr>
        <w:t>Recommendation #6:</w:t>
      </w:r>
      <w:r>
        <w:t xml:space="preserve"> </w:t>
      </w:r>
      <w:r>
        <w:rPr>
          <w:b/>
          <w:bCs/>
        </w:rPr>
        <w:t xml:space="preserve">Support the implementation of direct service staff training models that replicate child protection simulation training developed by the collaboration between DCFS and the University of Illinois-Springfield. </w:t>
      </w:r>
    </w:p>
    <w:p w14:paraId="34E3E5E0" w14:textId="77777777" w:rsidR="005F615D" w:rsidRDefault="005F615D" w:rsidP="00982B66">
      <w:pPr>
        <w:spacing w:after="0"/>
      </w:pPr>
    </w:p>
    <w:p w14:paraId="4F2882FE" w14:textId="097286BB" w:rsidR="00925AE7" w:rsidRPr="000F0860" w:rsidRDefault="00925AE7" w:rsidP="005F615D">
      <w:pPr>
        <w:spacing w:after="0"/>
        <w:ind w:left="720"/>
        <w:rPr>
          <w:b/>
          <w:bCs/>
          <w:i/>
          <w:iCs/>
        </w:rPr>
      </w:pPr>
      <w:r>
        <w:t xml:space="preserve">Through the new “Keeping it Real” website on the Capacity Building Center for State’s section, the Administration for Children and Families will be showcasing Illinois’ Child Protection Training Academy simulation model. In FY’21 the Academy is developing and hoping to implement the cohort model for training DCP investigators and supervisors, increasing the opportunities for simulation training throughout the six weeks of </w:t>
      </w:r>
      <w:r w:rsidR="005F615D">
        <w:t xml:space="preserve">classroom Foundation training. </w:t>
      </w:r>
      <w:r>
        <w:t xml:space="preserve">Members of the Illinois General Assembly requested a proposal for a model more closely resembling the Illinois State Police cohort training model with additional scenarios and training environments.  </w:t>
      </w:r>
    </w:p>
    <w:p w14:paraId="279F41E5" w14:textId="77777777" w:rsidR="005F615D" w:rsidRDefault="005F615D" w:rsidP="00982B66">
      <w:pPr>
        <w:spacing w:after="0"/>
        <w:rPr>
          <w:b/>
          <w:bCs/>
        </w:rPr>
      </w:pPr>
    </w:p>
    <w:p w14:paraId="60363498" w14:textId="719A74D8" w:rsidR="00925AE7" w:rsidRDefault="00925AE7" w:rsidP="00982B66">
      <w:pPr>
        <w:spacing w:after="0"/>
        <w:rPr>
          <w:b/>
          <w:bCs/>
        </w:rPr>
      </w:pPr>
      <w:r w:rsidRPr="003C6D69">
        <w:rPr>
          <w:b/>
          <w:bCs/>
        </w:rPr>
        <w:t>Recommendatio</w:t>
      </w:r>
      <w:r>
        <w:rPr>
          <w:b/>
          <w:bCs/>
        </w:rPr>
        <w:t xml:space="preserve">n #7: Build or enhance relationships between direct service staff and local courts to increase collaboration and coordination. </w:t>
      </w:r>
      <w:r w:rsidRPr="008103D8">
        <w:rPr>
          <w:b/>
          <w:bCs/>
        </w:rPr>
        <w:t xml:space="preserve">Training and education related to local court processes can assist direct service staff in their continued engagement with the court system. </w:t>
      </w:r>
    </w:p>
    <w:p w14:paraId="4D816D17" w14:textId="77777777" w:rsidR="005F615D" w:rsidRPr="008103D8" w:rsidRDefault="005F615D" w:rsidP="00982B66">
      <w:pPr>
        <w:spacing w:after="0"/>
        <w:rPr>
          <w:b/>
          <w:bCs/>
        </w:rPr>
      </w:pPr>
    </w:p>
    <w:p w14:paraId="1A8CA1C2" w14:textId="77777777" w:rsidR="00925AE7" w:rsidRDefault="00925AE7" w:rsidP="005F615D">
      <w:pPr>
        <w:spacing w:after="0"/>
        <w:ind w:left="720"/>
        <w:rPr>
          <w:b/>
          <w:bCs/>
          <w:i/>
          <w:iCs/>
        </w:rPr>
      </w:pPr>
      <w:r w:rsidRPr="00F7618D">
        <w:t>Clarification of judicial process</w:t>
      </w:r>
      <w:r>
        <w:t>es</w:t>
      </w:r>
      <w:r w:rsidRPr="00F7618D">
        <w:t xml:space="preserve"> and expectations with local courts should be a priority to reduce the tensions that result in hearings.  The tensions many times result in negative public experiences for </w:t>
      </w:r>
      <w:r>
        <w:t>f</w:t>
      </w:r>
      <w:r w:rsidRPr="00F7618D">
        <w:t xml:space="preserve">oster </w:t>
      </w:r>
      <w:r>
        <w:t>c</w:t>
      </w:r>
      <w:r w:rsidRPr="00F7618D">
        <w:t xml:space="preserve">are </w:t>
      </w:r>
      <w:r>
        <w:t>workers</w:t>
      </w:r>
      <w:r w:rsidRPr="00F7618D">
        <w:t xml:space="preserve"> and are cause for significant turnover. </w:t>
      </w:r>
      <w:r>
        <w:t xml:space="preserve"> T</w:t>
      </w:r>
      <w:r w:rsidRPr="00F7618D">
        <w:t xml:space="preserve">raining </w:t>
      </w:r>
      <w:r>
        <w:t xml:space="preserve">(simulation, if possible) </w:t>
      </w:r>
      <w:r w:rsidRPr="00F7618D">
        <w:t xml:space="preserve">should be given to direct service staff on preparing for court appearances and testimony. The training should be aligned and shared with Court officials to reduce error and lapses in communication.  </w:t>
      </w:r>
    </w:p>
    <w:p w14:paraId="288D68D6" w14:textId="77777777" w:rsidR="003C6494" w:rsidRDefault="003C6494" w:rsidP="00982B66">
      <w:pPr>
        <w:spacing w:after="0"/>
        <w:rPr>
          <w:b/>
          <w:bCs/>
        </w:rPr>
      </w:pPr>
    </w:p>
    <w:p w14:paraId="20265097" w14:textId="68D75965" w:rsidR="00925AE7" w:rsidRDefault="00925AE7" w:rsidP="00982B66">
      <w:pPr>
        <w:spacing w:after="0"/>
        <w:rPr>
          <w:b/>
          <w:bCs/>
        </w:rPr>
      </w:pPr>
      <w:r>
        <w:rPr>
          <w:b/>
          <w:bCs/>
        </w:rPr>
        <w:t>Recommendation #8: Support the implementation of a trauma-informed model that will institutionalize the protection of the health and well-being of staff.</w:t>
      </w:r>
    </w:p>
    <w:p w14:paraId="52DE0DE6" w14:textId="77777777" w:rsidR="003C6494" w:rsidRDefault="003C6494" w:rsidP="00982B66">
      <w:pPr>
        <w:spacing w:after="0"/>
      </w:pPr>
    </w:p>
    <w:p w14:paraId="78EE84C6" w14:textId="2D0278B9" w:rsidR="00925AE7" w:rsidRDefault="00925AE7" w:rsidP="003C6494">
      <w:pPr>
        <w:spacing w:after="0"/>
        <w:ind w:left="720"/>
        <w:rPr>
          <w:b/>
          <w:bCs/>
        </w:rPr>
      </w:pPr>
      <w:r>
        <w:t xml:space="preserve">As a result of their work, staff can experience secondary traumatic stress and vicarious trauma that can impact burnout and turnover. When available, support for staff, such as preventative measures that minimize the impact of trauma, are often informal and different across agencies. Identifying tools that can help direct service staff process and manage trauma can increase the likelihood of staff retention. </w:t>
      </w:r>
    </w:p>
    <w:p w14:paraId="36A01C52" w14:textId="77777777" w:rsidR="003C6494" w:rsidRDefault="003C6494" w:rsidP="00982B66">
      <w:pPr>
        <w:spacing w:after="0"/>
        <w:rPr>
          <w:b/>
          <w:bCs/>
        </w:rPr>
      </w:pPr>
    </w:p>
    <w:p w14:paraId="71688A8D" w14:textId="3F8A45AF" w:rsidR="00925AE7" w:rsidRDefault="00925AE7" w:rsidP="00982B66">
      <w:pPr>
        <w:spacing w:after="0"/>
      </w:pPr>
      <w:r w:rsidRPr="00C17E82">
        <w:rPr>
          <w:b/>
          <w:bCs/>
        </w:rPr>
        <w:t>Recommendation #</w:t>
      </w:r>
      <w:r>
        <w:rPr>
          <w:b/>
          <w:bCs/>
        </w:rPr>
        <w:t>9</w:t>
      </w:r>
      <w:r w:rsidRPr="00C17E82">
        <w:rPr>
          <w:b/>
          <w:bCs/>
        </w:rPr>
        <w:t xml:space="preserve">: </w:t>
      </w:r>
      <w:r>
        <w:rPr>
          <w:b/>
          <w:bCs/>
        </w:rPr>
        <w:t>Develop</w:t>
      </w:r>
      <w:r w:rsidRPr="00C17E82">
        <w:rPr>
          <w:b/>
          <w:bCs/>
        </w:rPr>
        <w:t xml:space="preserve"> data</w:t>
      </w:r>
      <w:r>
        <w:rPr>
          <w:b/>
          <w:bCs/>
        </w:rPr>
        <w:t xml:space="preserve"> </w:t>
      </w:r>
      <w:r w:rsidRPr="00C17E82">
        <w:rPr>
          <w:b/>
          <w:bCs/>
        </w:rPr>
        <w:t xml:space="preserve">collection processes that measure and evaluate the impact </w:t>
      </w:r>
      <w:r>
        <w:rPr>
          <w:b/>
          <w:bCs/>
        </w:rPr>
        <w:t>of child welfare related work on staff.</w:t>
      </w:r>
    </w:p>
    <w:p w14:paraId="392136BF" w14:textId="77777777" w:rsidR="003C6494" w:rsidRDefault="003C6494" w:rsidP="00982B66">
      <w:pPr>
        <w:spacing w:after="0"/>
      </w:pPr>
    </w:p>
    <w:p w14:paraId="52982F58" w14:textId="1FF29A96" w:rsidR="00925AE7" w:rsidRDefault="00925AE7" w:rsidP="003C6494">
      <w:pPr>
        <w:spacing w:after="0"/>
        <w:ind w:left="720"/>
      </w:pPr>
      <w:r>
        <w:t xml:space="preserve">A comprehensive evaluation of child welfare related work can help inform and improve different processes that impact all levels of staff. This will also document issues that may arise and further inform decision-making by tracking the efficacy of policies and practices and eliminating or changing those that have limited impact. Similarly, those that show a positive impact on individuals, organizations, and systems can be strengthened. </w:t>
      </w:r>
    </w:p>
    <w:p w14:paraId="59E5DD4C" w14:textId="77777777" w:rsidR="00A27D91" w:rsidRDefault="00A27D91" w:rsidP="00982B66">
      <w:pPr>
        <w:spacing w:after="0"/>
        <w:rPr>
          <w:shd w:val="clear" w:color="auto" w:fill="FFFFFF"/>
        </w:rPr>
      </w:pPr>
    </w:p>
    <w:p w14:paraId="67A7BCC5" w14:textId="520076E4" w:rsidR="00A27D91" w:rsidRDefault="00A27D91" w:rsidP="000F0378">
      <w:pPr>
        <w:pStyle w:val="Heading2"/>
        <w:spacing w:before="0" w:after="0"/>
        <w:rPr>
          <w:shd w:val="clear" w:color="auto" w:fill="FFFFFF"/>
        </w:rPr>
      </w:pPr>
      <w:bookmarkStart w:id="39" w:name="_Toc52403576"/>
      <w:r>
        <w:rPr>
          <w:shd w:val="clear" w:color="auto" w:fill="FFFFFF"/>
        </w:rPr>
        <w:t>4.3</w:t>
      </w:r>
      <w:r>
        <w:rPr>
          <w:shd w:val="clear" w:color="auto" w:fill="FFFFFF"/>
        </w:rPr>
        <w:tab/>
        <w:t>Racial Equity</w:t>
      </w:r>
      <w:bookmarkEnd w:id="39"/>
      <w:r>
        <w:rPr>
          <w:shd w:val="clear" w:color="auto" w:fill="FFFFFF"/>
        </w:rPr>
        <w:t xml:space="preserve">  </w:t>
      </w:r>
    </w:p>
    <w:p w14:paraId="6EE5A94E" w14:textId="44FFC4E1" w:rsidR="00A27D91" w:rsidRDefault="00A27D91" w:rsidP="000F0378">
      <w:pPr>
        <w:pStyle w:val="NormalWeb"/>
        <w:spacing w:before="0" w:beforeAutospacing="0" w:after="0" w:line="240" w:lineRule="auto"/>
        <w:jc w:val="both"/>
        <w:rPr>
          <w:rFonts w:asciiTheme="majorHAnsi" w:hAnsiTheme="majorHAnsi" w:cstheme="majorHAnsi"/>
          <w:shd w:val="clear" w:color="auto" w:fill="FFFFFF"/>
        </w:rPr>
      </w:pPr>
    </w:p>
    <w:p w14:paraId="4B8CD22E" w14:textId="77777777" w:rsidR="000F0378" w:rsidRPr="000F0378" w:rsidRDefault="000F0378" w:rsidP="000F0378">
      <w:pPr>
        <w:pStyle w:val="NormalWeb"/>
        <w:spacing w:before="0" w:beforeAutospacing="0" w:after="0" w:line="240" w:lineRule="auto"/>
        <w:rPr>
          <w:rFonts w:asciiTheme="majorHAnsi" w:hAnsiTheme="majorHAnsi" w:cstheme="minorHAnsi"/>
          <w:shd w:val="clear" w:color="auto" w:fill="FFFFFF"/>
        </w:rPr>
      </w:pPr>
      <w:r w:rsidRPr="000F0378">
        <w:rPr>
          <w:rFonts w:asciiTheme="majorHAnsi" w:hAnsiTheme="majorHAnsi" w:cstheme="minorHAnsi"/>
          <w:b/>
          <w:u w:val="single"/>
          <w:shd w:val="clear" w:color="auto" w:fill="FFFFFF"/>
        </w:rPr>
        <w:t>INTRODUCTION</w:t>
      </w:r>
    </w:p>
    <w:p w14:paraId="7467FDC2" w14:textId="2993566F" w:rsidR="000F0378" w:rsidRPr="000F0378" w:rsidRDefault="000F0378" w:rsidP="000F0378">
      <w:pPr>
        <w:pStyle w:val="NormalWeb"/>
        <w:spacing w:after="158" w:line="240" w:lineRule="auto"/>
        <w:rPr>
          <w:rFonts w:asciiTheme="majorHAnsi" w:hAnsiTheme="majorHAnsi" w:cstheme="minorHAnsi"/>
          <w:shd w:val="clear" w:color="auto" w:fill="FFFFFF"/>
        </w:rPr>
      </w:pPr>
      <w:r w:rsidRPr="000F0378">
        <w:rPr>
          <w:rFonts w:asciiTheme="majorHAnsi" w:hAnsiTheme="majorHAnsi" w:cstheme="minorHAnsi"/>
          <w:shd w:val="clear" w:color="auto" w:fill="FFFFFF"/>
        </w:rPr>
        <w:t>The task of the Racial Equity Sub-Committee was to collect, analyze and to make policy focused recommendations regarding equity and disparities in the child welfare workforce in Illinois. The sub-committee added subject matter experts from the DCFS Office of Affirmative Action and the Office of Employee Services to determine existing reports, compliance to federal guidelines and</w:t>
      </w:r>
      <w:r>
        <w:rPr>
          <w:rFonts w:asciiTheme="majorHAnsi" w:hAnsiTheme="majorHAnsi" w:cstheme="minorHAnsi"/>
          <w:shd w:val="clear" w:color="auto" w:fill="FFFFFF"/>
        </w:rPr>
        <w:t xml:space="preserve"> data collection deficiencies. </w:t>
      </w:r>
      <w:r w:rsidRPr="000F0378">
        <w:rPr>
          <w:rFonts w:asciiTheme="majorHAnsi" w:hAnsiTheme="majorHAnsi" w:cstheme="minorHAnsi"/>
          <w:shd w:val="clear" w:color="auto" w:fill="FFFFFF"/>
        </w:rPr>
        <w:t>Although DCFS is the statutorily designated responsible entity for the children in care in Illinois, 85% of the services delivered are provided by agencies</w:t>
      </w:r>
      <w:r>
        <w:rPr>
          <w:rFonts w:asciiTheme="majorHAnsi" w:hAnsiTheme="majorHAnsi" w:cstheme="minorHAnsi"/>
          <w:shd w:val="clear" w:color="auto" w:fill="FFFFFF"/>
        </w:rPr>
        <w:t xml:space="preserve"> contracted by the Department. </w:t>
      </w:r>
      <w:r w:rsidRPr="000F0378">
        <w:rPr>
          <w:rFonts w:asciiTheme="majorHAnsi" w:hAnsiTheme="majorHAnsi" w:cstheme="minorHAnsi"/>
          <w:shd w:val="clear" w:color="auto" w:fill="FFFFFF"/>
        </w:rPr>
        <w:t>Provider community workforce data information will be a critical component to the assessment process. The sub-committee has determined that a uniform process for collecting data from the provider community and manual process for review contributed to inconsisten</w:t>
      </w:r>
      <w:r>
        <w:rPr>
          <w:rFonts w:asciiTheme="majorHAnsi" w:hAnsiTheme="majorHAnsi" w:cstheme="minorHAnsi"/>
          <w:shd w:val="clear" w:color="auto" w:fill="FFFFFF"/>
        </w:rPr>
        <w:t xml:space="preserve">cies in the reporting process. </w:t>
      </w:r>
      <w:r w:rsidRPr="000F0378">
        <w:rPr>
          <w:rFonts w:asciiTheme="majorHAnsi" w:hAnsiTheme="majorHAnsi" w:cstheme="minorHAnsi"/>
          <w:shd w:val="clear" w:color="auto" w:fill="FFFFFF"/>
        </w:rPr>
        <w:t>This report focuses on the three Illinois Department of Human Rights (DHR) regions that have the largest workforce populations.  These regions differ for DCFS and the Purchase of Service (POS) agencies. For DCFS, DHR reports the largest r</w:t>
      </w:r>
      <w:r>
        <w:rPr>
          <w:rFonts w:asciiTheme="majorHAnsi" w:hAnsiTheme="majorHAnsi" w:cstheme="minorHAnsi"/>
          <w:shd w:val="clear" w:color="auto" w:fill="FFFFFF"/>
        </w:rPr>
        <w:t xml:space="preserve">egions as Regions 1, 7, and 8. </w:t>
      </w:r>
      <w:r w:rsidRPr="000F0378">
        <w:rPr>
          <w:rFonts w:asciiTheme="majorHAnsi" w:hAnsiTheme="majorHAnsi" w:cstheme="minorHAnsi"/>
          <w:shd w:val="clear" w:color="auto" w:fill="FFFFFF"/>
        </w:rPr>
        <w:t xml:space="preserve">For POS, DHR reports the largest regions as Regions 1, 2, and 7.  </w:t>
      </w:r>
    </w:p>
    <w:p w14:paraId="547EED84" w14:textId="77777777" w:rsidR="000F0378" w:rsidRPr="000F0378" w:rsidRDefault="000F0378" w:rsidP="000F0378">
      <w:pPr>
        <w:pStyle w:val="NormalWeb"/>
        <w:spacing w:after="158" w:line="240" w:lineRule="auto"/>
        <w:rPr>
          <w:rFonts w:asciiTheme="majorHAnsi" w:hAnsiTheme="majorHAnsi" w:cstheme="minorHAnsi"/>
          <w:shd w:val="clear" w:color="auto" w:fill="FFFFFF"/>
        </w:rPr>
      </w:pPr>
      <w:r w:rsidRPr="000F0378">
        <w:rPr>
          <w:rFonts w:asciiTheme="majorHAnsi" w:hAnsiTheme="majorHAnsi" w:cstheme="minorHAnsi"/>
          <w:shd w:val="clear" w:color="auto" w:fill="FFFFFF"/>
        </w:rPr>
        <w:t>The sub-committee identified the following activities as necessary to complete the final report:</w:t>
      </w:r>
    </w:p>
    <w:p w14:paraId="246ACC7A" w14:textId="77777777" w:rsidR="000F0378" w:rsidRPr="000F0378" w:rsidRDefault="000F0378" w:rsidP="000F0378">
      <w:pPr>
        <w:pStyle w:val="NormalWeb"/>
        <w:numPr>
          <w:ilvl w:val="0"/>
          <w:numId w:val="41"/>
        </w:numPr>
        <w:spacing w:beforeAutospacing="0" w:after="158" w:line="240" w:lineRule="auto"/>
        <w:rPr>
          <w:rFonts w:asciiTheme="majorHAnsi" w:hAnsiTheme="majorHAnsi" w:cstheme="minorHAnsi"/>
          <w:shd w:val="clear" w:color="auto" w:fill="FFFFFF"/>
        </w:rPr>
      </w:pPr>
      <w:r w:rsidRPr="000F0378">
        <w:rPr>
          <w:rFonts w:asciiTheme="majorHAnsi" w:hAnsiTheme="majorHAnsi" w:cstheme="minorHAnsi"/>
          <w:shd w:val="clear" w:color="auto" w:fill="FFFFFF"/>
        </w:rPr>
        <w:t>Review of existing internal reports to determine any gaps in data information;</w:t>
      </w:r>
    </w:p>
    <w:p w14:paraId="303330E6" w14:textId="77777777" w:rsidR="000F0378" w:rsidRPr="000F0378" w:rsidRDefault="000F0378" w:rsidP="000F0378">
      <w:pPr>
        <w:pStyle w:val="NormalWeb"/>
        <w:numPr>
          <w:ilvl w:val="0"/>
          <w:numId w:val="41"/>
        </w:numPr>
        <w:spacing w:beforeAutospacing="0" w:after="158" w:line="240" w:lineRule="auto"/>
        <w:rPr>
          <w:rFonts w:asciiTheme="majorHAnsi" w:hAnsiTheme="majorHAnsi" w:cstheme="minorHAnsi"/>
          <w:shd w:val="clear" w:color="auto" w:fill="FFFFFF"/>
        </w:rPr>
      </w:pPr>
      <w:r w:rsidRPr="000F0378">
        <w:rPr>
          <w:rFonts w:asciiTheme="majorHAnsi" w:hAnsiTheme="majorHAnsi" w:cstheme="minorHAnsi"/>
          <w:shd w:val="clear" w:color="auto" w:fill="FFFFFF"/>
        </w:rPr>
        <w:t>Outreach to the provider community to assist in the collection and interpretation of data, challenges and opportunities for system improvements;</w:t>
      </w:r>
    </w:p>
    <w:p w14:paraId="36E7B375" w14:textId="77777777" w:rsidR="000F0378" w:rsidRPr="000F0378" w:rsidRDefault="000F0378" w:rsidP="000F0378">
      <w:pPr>
        <w:pStyle w:val="ListParagraph"/>
        <w:numPr>
          <w:ilvl w:val="0"/>
          <w:numId w:val="41"/>
        </w:numPr>
        <w:spacing w:after="160"/>
        <w:rPr>
          <w:rFonts w:eastAsia="Times New Roman" w:cstheme="minorHAnsi"/>
          <w:szCs w:val="24"/>
          <w:shd w:val="clear" w:color="auto" w:fill="FFFFFF"/>
        </w:rPr>
      </w:pPr>
      <w:r w:rsidRPr="000F0378">
        <w:rPr>
          <w:rFonts w:cstheme="minorHAnsi"/>
          <w:szCs w:val="24"/>
          <w:shd w:val="clear" w:color="auto" w:fill="FFFFFF"/>
        </w:rPr>
        <w:t xml:space="preserve"> </w:t>
      </w:r>
      <w:r w:rsidRPr="000F0378">
        <w:rPr>
          <w:rFonts w:eastAsia="Times New Roman" w:cstheme="minorHAnsi"/>
          <w:szCs w:val="24"/>
          <w:shd w:val="clear" w:color="auto" w:fill="FFFFFF"/>
        </w:rPr>
        <w:t>Determination of disparities;</w:t>
      </w:r>
    </w:p>
    <w:p w14:paraId="71DC696A" w14:textId="77777777" w:rsidR="000F0378" w:rsidRPr="000F0378" w:rsidRDefault="000F0378" w:rsidP="000F0378">
      <w:pPr>
        <w:pStyle w:val="NormalWeb"/>
        <w:numPr>
          <w:ilvl w:val="0"/>
          <w:numId w:val="41"/>
        </w:numPr>
        <w:spacing w:beforeAutospacing="0" w:after="158" w:line="240" w:lineRule="auto"/>
        <w:rPr>
          <w:rFonts w:asciiTheme="majorHAnsi" w:hAnsiTheme="majorHAnsi" w:cstheme="minorHAnsi"/>
          <w:shd w:val="clear" w:color="auto" w:fill="FFFFFF"/>
        </w:rPr>
      </w:pPr>
      <w:r w:rsidRPr="000F0378">
        <w:rPr>
          <w:rFonts w:asciiTheme="majorHAnsi" w:hAnsiTheme="majorHAnsi" w:cstheme="minorHAnsi"/>
          <w:shd w:val="clear" w:color="auto" w:fill="FFFFFF"/>
        </w:rPr>
        <w:t>Recommendations to the Taskforce.</w:t>
      </w:r>
    </w:p>
    <w:p w14:paraId="3497A4EF" w14:textId="77777777" w:rsidR="000F0378" w:rsidRPr="000F0378" w:rsidRDefault="000F0378" w:rsidP="000F0378">
      <w:pPr>
        <w:pStyle w:val="NormalWeb"/>
        <w:spacing w:beforeAutospacing="0" w:after="158" w:line="240" w:lineRule="auto"/>
        <w:jc w:val="both"/>
        <w:rPr>
          <w:rFonts w:asciiTheme="majorHAnsi" w:hAnsiTheme="majorHAnsi" w:cstheme="minorHAnsi"/>
          <w:b/>
          <w:u w:val="single"/>
          <w:shd w:val="clear" w:color="auto" w:fill="FFFFFF"/>
        </w:rPr>
      </w:pPr>
      <w:r w:rsidRPr="000F0378">
        <w:rPr>
          <w:rFonts w:asciiTheme="majorHAnsi" w:hAnsiTheme="majorHAnsi" w:cstheme="minorHAnsi"/>
          <w:b/>
          <w:u w:val="single"/>
          <w:shd w:val="clear" w:color="auto" w:fill="FFFFFF"/>
        </w:rPr>
        <w:t>PURPOSE</w:t>
      </w:r>
    </w:p>
    <w:p w14:paraId="389F3A65" w14:textId="73E81189" w:rsidR="000F0378" w:rsidRPr="000F0378" w:rsidRDefault="000F0378" w:rsidP="000F0378">
      <w:pPr>
        <w:rPr>
          <w:rFonts w:cstheme="minorHAnsi"/>
          <w:szCs w:val="24"/>
          <w:shd w:val="clear" w:color="auto" w:fill="FFFFFF"/>
        </w:rPr>
      </w:pPr>
      <w:r w:rsidRPr="000F0378">
        <w:rPr>
          <w:rFonts w:cstheme="minorHAnsi"/>
          <w:szCs w:val="24"/>
          <w:shd w:val="clear" w:color="auto" w:fill="FFFFFF"/>
        </w:rPr>
        <w:t>The purpose of this analysis is to make recommendations regarding equity and</w:t>
      </w:r>
      <w:r w:rsidR="00007D8D">
        <w:rPr>
          <w:rFonts w:cstheme="minorHAnsi"/>
          <w:szCs w:val="24"/>
          <w:shd w:val="clear" w:color="auto" w:fill="FFFFFF"/>
        </w:rPr>
        <w:t xml:space="preserve"> disparities in our workforce. </w:t>
      </w:r>
      <w:r w:rsidRPr="000F0378">
        <w:rPr>
          <w:rFonts w:cstheme="minorHAnsi"/>
          <w:szCs w:val="24"/>
          <w:shd w:val="clear" w:color="auto" w:fill="FFFFFF"/>
        </w:rPr>
        <w:t>DCFS reports its human resource information directly to DHR. DCFS is mandated to comply with DHR reporting requirements. DCFS uses the same reports that DHR uses to analyze all state workforce data. All forms and reports mentioned in this analysis are forms and reports from DHR.</w:t>
      </w:r>
      <w:r w:rsidR="00007D8D">
        <w:rPr>
          <w:rFonts w:cstheme="minorHAnsi"/>
          <w:szCs w:val="24"/>
          <w:shd w:val="clear" w:color="auto" w:fill="FFFFFF"/>
        </w:rPr>
        <w:t xml:space="preserve"> </w:t>
      </w:r>
      <w:r w:rsidRPr="000F0378">
        <w:rPr>
          <w:rFonts w:cstheme="minorHAnsi"/>
          <w:szCs w:val="24"/>
          <w:shd w:val="clear" w:color="auto" w:fill="FFFFFF"/>
        </w:rPr>
        <w:t xml:space="preserve">Although DCFS is not required to report the private provider agency diversity data to DHR, it collects the private agency data to monitor compliance with federal Equal Employment Opportunity (EEO) regulation.  </w:t>
      </w:r>
    </w:p>
    <w:p w14:paraId="4F8FF8CD" w14:textId="77777777" w:rsidR="000F0378" w:rsidRPr="000F0378" w:rsidRDefault="000F0378" w:rsidP="000F0378">
      <w:pPr>
        <w:rPr>
          <w:rFonts w:cstheme="minorHAnsi"/>
          <w:szCs w:val="24"/>
          <w:shd w:val="clear" w:color="auto" w:fill="FFFFFF"/>
        </w:rPr>
      </w:pPr>
    </w:p>
    <w:p w14:paraId="6148AE95" w14:textId="77777777" w:rsidR="000F0378" w:rsidRPr="000F0378" w:rsidRDefault="000F0378" w:rsidP="000F0378">
      <w:pPr>
        <w:rPr>
          <w:rFonts w:cstheme="minorHAnsi"/>
          <w:b/>
          <w:szCs w:val="24"/>
          <w:u w:val="single"/>
          <w:shd w:val="clear" w:color="auto" w:fill="FFFFFF"/>
        </w:rPr>
      </w:pPr>
      <w:r w:rsidRPr="000F0378">
        <w:rPr>
          <w:rFonts w:cstheme="minorHAnsi"/>
          <w:b/>
          <w:szCs w:val="24"/>
          <w:u w:val="single"/>
          <w:shd w:val="clear" w:color="auto" w:fill="FFFFFF"/>
        </w:rPr>
        <w:t xml:space="preserve">DCFS </w:t>
      </w:r>
      <w:bookmarkStart w:id="40" w:name="_Hlk52205572"/>
      <w:r w:rsidRPr="000F0378">
        <w:rPr>
          <w:rFonts w:cstheme="minorHAnsi"/>
          <w:b/>
          <w:szCs w:val="24"/>
          <w:u w:val="single"/>
          <w:shd w:val="clear" w:color="auto" w:fill="FFFFFF"/>
        </w:rPr>
        <w:t>WORK FORCE ANALYSIS</w:t>
      </w:r>
      <w:bookmarkEnd w:id="40"/>
    </w:p>
    <w:p w14:paraId="3C5E695D" w14:textId="77777777" w:rsidR="000F0378" w:rsidRPr="000F0378" w:rsidRDefault="000F0378" w:rsidP="000F0378">
      <w:pPr>
        <w:pStyle w:val="ListParagraph"/>
        <w:numPr>
          <w:ilvl w:val="0"/>
          <w:numId w:val="47"/>
        </w:numPr>
        <w:spacing w:after="160"/>
        <w:rPr>
          <w:rFonts w:cstheme="minorHAnsi"/>
          <w:szCs w:val="24"/>
          <w:shd w:val="clear" w:color="auto" w:fill="FFFFFF"/>
        </w:rPr>
      </w:pPr>
      <w:r w:rsidRPr="000F0378">
        <w:rPr>
          <w:rFonts w:cstheme="minorHAnsi"/>
          <w:szCs w:val="24"/>
          <w:shd w:val="clear" w:color="auto" w:fill="FFFFFF"/>
        </w:rPr>
        <w:t>DCFS Gender and Race</w:t>
      </w:r>
    </w:p>
    <w:p w14:paraId="5D94EAB8" w14:textId="78C74604" w:rsidR="000F0378" w:rsidRPr="000F0378" w:rsidRDefault="000F0378" w:rsidP="000F0378">
      <w:pPr>
        <w:rPr>
          <w:rFonts w:cstheme="minorHAnsi"/>
          <w:szCs w:val="24"/>
          <w:shd w:val="clear" w:color="auto" w:fill="FFFFFF"/>
        </w:rPr>
      </w:pPr>
      <w:r w:rsidRPr="000F0378">
        <w:rPr>
          <w:rFonts w:cstheme="minorHAnsi"/>
          <w:szCs w:val="24"/>
          <w:shd w:val="clear" w:color="auto" w:fill="FFFFFF"/>
        </w:rPr>
        <w:t xml:space="preserve">The Workforce Analysis form (DHR-9) by region details the present number of employees in each EEO </w:t>
      </w:r>
      <w:r w:rsidR="00007D8D">
        <w:rPr>
          <w:rFonts w:cstheme="minorHAnsi"/>
          <w:szCs w:val="24"/>
          <w:shd w:val="clear" w:color="auto" w:fill="FFFFFF"/>
        </w:rPr>
        <w:t>by job category, race and sex. </w:t>
      </w:r>
      <w:r w:rsidRPr="000F0378">
        <w:rPr>
          <w:rFonts w:cstheme="minorHAnsi"/>
          <w:szCs w:val="24"/>
          <w:shd w:val="clear" w:color="auto" w:fill="FFFFFF"/>
        </w:rPr>
        <w:t xml:space="preserve">Each region is displayed separately and has a combined total by race and sex for all regions. Data received from POS agencies indicate the following:  </w:t>
      </w:r>
    </w:p>
    <w:p w14:paraId="34FD7E0B" w14:textId="77777777" w:rsidR="000F0378" w:rsidRPr="000F0378" w:rsidRDefault="000F0378" w:rsidP="000F0378">
      <w:pPr>
        <w:rPr>
          <w:rFonts w:cstheme="minorHAnsi"/>
          <w:i/>
          <w:szCs w:val="24"/>
          <w:shd w:val="clear" w:color="auto" w:fill="FFFFFF"/>
        </w:rPr>
      </w:pPr>
      <w:r w:rsidRPr="000F0378">
        <w:rPr>
          <w:rFonts w:cstheme="minorHAnsi"/>
          <w:i/>
          <w:szCs w:val="24"/>
          <w:shd w:val="clear" w:color="auto" w:fill="FFFFFF"/>
        </w:rPr>
        <w:t>Gender</w:t>
      </w:r>
    </w:p>
    <w:p w14:paraId="7BD946BB" w14:textId="77777777" w:rsidR="000F0378" w:rsidRPr="000F0378" w:rsidRDefault="000F0378" w:rsidP="000F0378">
      <w:pPr>
        <w:pStyle w:val="ListParagraph"/>
        <w:numPr>
          <w:ilvl w:val="0"/>
          <w:numId w:val="45"/>
        </w:numPr>
        <w:spacing w:after="160"/>
        <w:rPr>
          <w:rFonts w:cstheme="minorHAnsi"/>
          <w:szCs w:val="24"/>
          <w:shd w:val="clear" w:color="auto" w:fill="FFFFFF"/>
        </w:rPr>
      </w:pPr>
      <w:r w:rsidRPr="000F0378">
        <w:rPr>
          <w:rFonts w:cstheme="minorHAnsi"/>
          <w:szCs w:val="24"/>
          <w:shd w:val="clear" w:color="auto" w:fill="FFFFFF"/>
        </w:rPr>
        <w:t xml:space="preserve">Males:  </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 xml:space="preserve">20.91% of workforce population </w:t>
      </w:r>
    </w:p>
    <w:p w14:paraId="597B72DC" w14:textId="77777777" w:rsidR="000F0378" w:rsidRPr="000F0378" w:rsidRDefault="000F0378" w:rsidP="000F0378">
      <w:pPr>
        <w:pStyle w:val="ListParagraph"/>
        <w:numPr>
          <w:ilvl w:val="0"/>
          <w:numId w:val="45"/>
        </w:numPr>
        <w:spacing w:after="160"/>
        <w:rPr>
          <w:rFonts w:cstheme="minorHAnsi"/>
          <w:szCs w:val="24"/>
          <w:shd w:val="clear" w:color="auto" w:fill="FFFFFF"/>
        </w:rPr>
      </w:pPr>
      <w:r w:rsidRPr="000F0378">
        <w:rPr>
          <w:rFonts w:cstheme="minorHAnsi"/>
          <w:szCs w:val="24"/>
          <w:shd w:val="clear" w:color="auto" w:fill="FFFFFF"/>
        </w:rPr>
        <w:t xml:space="preserve">Females: </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79.09% of the workforce population</w:t>
      </w:r>
    </w:p>
    <w:p w14:paraId="6FF256BC" w14:textId="77777777" w:rsidR="000F0378" w:rsidRPr="000F0378" w:rsidRDefault="000F0378" w:rsidP="000F0378">
      <w:pPr>
        <w:rPr>
          <w:rFonts w:cstheme="minorHAnsi"/>
          <w:i/>
          <w:szCs w:val="24"/>
          <w:shd w:val="clear" w:color="auto" w:fill="FFFFFF"/>
        </w:rPr>
      </w:pPr>
      <w:r w:rsidRPr="000F0378">
        <w:rPr>
          <w:rFonts w:cstheme="minorHAnsi"/>
          <w:i/>
          <w:szCs w:val="24"/>
          <w:shd w:val="clear" w:color="auto" w:fill="FFFFFF"/>
        </w:rPr>
        <w:t>Race</w:t>
      </w:r>
    </w:p>
    <w:p w14:paraId="3EF64AF4" w14:textId="77777777" w:rsidR="000F0378" w:rsidRPr="000F0378" w:rsidRDefault="000F0378" w:rsidP="000F0378">
      <w:pPr>
        <w:pStyle w:val="ListParagraph"/>
        <w:numPr>
          <w:ilvl w:val="0"/>
          <w:numId w:val="46"/>
        </w:numPr>
        <w:spacing w:after="160"/>
        <w:rPr>
          <w:rFonts w:cstheme="minorHAnsi"/>
          <w:szCs w:val="24"/>
          <w:shd w:val="clear" w:color="auto" w:fill="FFFFFF"/>
        </w:rPr>
      </w:pPr>
      <w:r w:rsidRPr="000F0378">
        <w:rPr>
          <w:rFonts w:cstheme="minorHAnsi"/>
          <w:szCs w:val="24"/>
          <w:shd w:val="clear" w:color="auto" w:fill="FFFFFF"/>
        </w:rPr>
        <w:t xml:space="preserve">Black:  </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38.65%</w:t>
      </w:r>
    </w:p>
    <w:p w14:paraId="09A658C6" w14:textId="77777777" w:rsidR="000F0378" w:rsidRPr="000F0378" w:rsidRDefault="000F0378" w:rsidP="000F0378">
      <w:pPr>
        <w:pStyle w:val="ListParagraph"/>
        <w:numPr>
          <w:ilvl w:val="0"/>
          <w:numId w:val="46"/>
        </w:numPr>
        <w:spacing w:after="160"/>
        <w:rPr>
          <w:rFonts w:cstheme="minorHAnsi"/>
          <w:szCs w:val="24"/>
          <w:shd w:val="clear" w:color="auto" w:fill="FFFFFF"/>
        </w:rPr>
      </w:pPr>
      <w:r w:rsidRPr="000F0378">
        <w:rPr>
          <w:rFonts w:cstheme="minorHAnsi"/>
          <w:szCs w:val="24"/>
          <w:shd w:val="clear" w:color="auto" w:fill="FFFFFF"/>
        </w:rPr>
        <w:t>Latino:</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9.78%</w:t>
      </w:r>
    </w:p>
    <w:p w14:paraId="4DA84725" w14:textId="77777777" w:rsidR="000F0378" w:rsidRPr="000F0378" w:rsidRDefault="000F0378" w:rsidP="000F0378">
      <w:pPr>
        <w:pStyle w:val="ListParagraph"/>
        <w:numPr>
          <w:ilvl w:val="0"/>
          <w:numId w:val="46"/>
        </w:numPr>
        <w:spacing w:after="160"/>
        <w:rPr>
          <w:rFonts w:cstheme="minorHAnsi"/>
          <w:szCs w:val="24"/>
          <w:shd w:val="clear" w:color="auto" w:fill="FFFFFF"/>
        </w:rPr>
      </w:pPr>
      <w:r w:rsidRPr="000F0378">
        <w:rPr>
          <w:rFonts w:cstheme="minorHAnsi"/>
          <w:szCs w:val="24"/>
          <w:shd w:val="clear" w:color="auto" w:fill="FFFFFF"/>
        </w:rPr>
        <w:t>White:</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49.14%</w:t>
      </w:r>
    </w:p>
    <w:p w14:paraId="4BBE3E84" w14:textId="77777777" w:rsidR="000F0378" w:rsidRPr="000F0378" w:rsidRDefault="000F0378" w:rsidP="000F0378">
      <w:pPr>
        <w:pStyle w:val="ListParagraph"/>
        <w:numPr>
          <w:ilvl w:val="0"/>
          <w:numId w:val="46"/>
        </w:numPr>
        <w:spacing w:after="160"/>
        <w:rPr>
          <w:rFonts w:cstheme="minorHAnsi"/>
          <w:szCs w:val="24"/>
          <w:shd w:val="clear" w:color="auto" w:fill="FFFFFF"/>
        </w:rPr>
      </w:pPr>
      <w:r w:rsidRPr="000F0378">
        <w:rPr>
          <w:rFonts w:cstheme="minorHAnsi"/>
          <w:szCs w:val="24"/>
          <w:shd w:val="clear" w:color="auto" w:fill="FFFFFF"/>
        </w:rPr>
        <w:t>Asian:</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2.17%</w:t>
      </w:r>
    </w:p>
    <w:p w14:paraId="5C713341" w14:textId="77777777" w:rsidR="000F0378" w:rsidRPr="000F0378" w:rsidRDefault="000F0378" w:rsidP="000F0378">
      <w:pPr>
        <w:pStyle w:val="ListParagraph"/>
        <w:numPr>
          <w:ilvl w:val="0"/>
          <w:numId w:val="46"/>
        </w:numPr>
        <w:spacing w:after="0"/>
        <w:rPr>
          <w:rFonts w:cstheme="minorHAnsi"/>
          <w:szCs w:val="24"/>
          <w:shd w:val="clear" w:color="auto" w:fill="FFFFFF"/>
        </w:rPr>
      </w:pPr>
      <w:r w:rsidRPr="000F0378">
        <w:rPr>
          <w:rFonts w:cstheme="minorHAnsi"/>
          <w:szCs w:val="24"/>
          <w:shd w:val="clear" w:color="auto" w:fill="FFFFFF"/>
        </w:rPr>
        <w:t>Native American/</w:t>
      </w:r>
    </w:p>
    <w:p w14:paraId="7DC834A1" w14:textId="77777777" w:rsidR="000F0378" w:rsidRPr="000F0378" w:rsidRDefault="000F0378" w:rsidP="000F0378">
      <w:pPr>
        <w:pStyle w:val="ListParagraph"/>
        <w:numPr>
          <w:ilvl w:val="0"/>
          <w:numId w:val="46"/>
        </w:numPr>
        <w:spacing w:after="0"/>
        <w:rPr>
          <w:rFonts w:cstheme="minorHAnsi"/>
          <w:szCs w:val="24"/>
          <w:shd w:val="clear" w:color="auto" w:fill="FFFFFF"/>
        </w:rPr>
      </w:pPr>
      <w:r w:rsidRPr="000F0378">
        <w:rPr>
          <w:rFonts w:cstheme="minorHAnsi"/>
          <w:szCs w:val="24"/>
          <w:shd w:val="clear" w:color="auto" w:fill="FFFFFF"/>
        </w:rPr>
        <w:t>Alaskan Native:</w:t>
      </w:r>
      <w:r w:rsidRPr="000F0378">
        <w:rPr>
          <w:rFonts w:cstheme="minorHAnsi"/>
          <w:szCs w:val="24"/>
          <w:shd w:val="clear" w:color="auto" w:fill="FFFFFF"/>
        </w:rPr>
        <w:tab/>
      </w:r>
      <w:r w:rsidRPr="000F0378">
        <w:rPr>
          <w:rFonts w:cstheme="minorHAnsi"/>
          <w:szCs w:val="24"/>
          <w:shd w:val="clear" w:color="auto" w:fill="FFFFFF"/>
        </w:rPr>
        <w:tab/>
        <w:t>0.20%</w:t>
      </w:r>
    </w:p>
    <w:p w14:paraId="0497F389" w14:textId="77777777" w:rsidR="000F0378" w:rsidRPr="000F0378" w:rsidRDefault="000F0378" w:rsidP="000F0378">
      <w:pPr>
        <w:pStyle w:val="ListParagraph"/>
        <w:numPr>
          <w:ilvl w:val="0"/>
          <w:numId w:val="46"/>
        </w:numPr>
        <w:spacing w:after="160"/>
        <w:rPr>
          <w:rFonts w:cstheme="minorHAnsi"/>
          <w:szCs w:val="24"/>
          <w:shd w:val="clear" w:color="auto" w:fill="FFFFFF"/>
        </w:rPr>
      </w:pPr>
      <w:r w:rsidRPr="000F0378">
        <w:rPr>
          <w:rFonts w:cstheme="minorHAnsi"/>
          <w:szCs w:val="24"/>
          <w:shd w:val="clear" w:color="auto" w:fill="FFFFFF"/>
        </w:rPr>
        <w:t>Native Hawaiian/</w:t>
      </w:r>
    </w:p>
    <w:p w14:paraId="546689BD" w14:textId="77777777" w:rsidR="000F0378" w:rsidRPr="000F0378" w:rsidRDefault="000F0378" w:rsidP="000F0378">
      <w:pPr>
        <w:pStyle w:val="ListParagraph"/>
        <w:ind w:left="1080"/>
        <w:rPr>
          <w:rFonts w:cstheme="minorHAnsi"/>
          <w:szCs w:val="24"/>
          <w:shd w:val="clear" w:color="auto" w:fill="FFFFFF"/>
        </w:rPr>
      </w:pPr>
      <w:r w:rsidRPr="000F0378">
        <w:rPr>
          <w:rFonts w:cstheme="minorHAnsi"/>
          <w:szCs w:val="24"/>
          <w:shd w:val="clear" w:color="auto" w:fill="FFFFFF"/>
        </w:rPr>
        <w:t>Pacific Islander:</w:t>
      </w:r>
      <w:r w:rsidRPr="000F0378">
        <w:rPr>
          <w:rFonts w:cstheme="minorHAnsi"/>
          <w:szCs w:val="24"/>
          <w:shd w:val="clear" w:color="auto" w:fill="FFFFFF"/>
        </w:rPr>
        <w:tab/>
      </w:r>
      <w:r w:rsidRPr="000F0378">
        <w:rPr>
          <w:rFonts w:cstheme="minorHAnsi"/>
          <w:szCs w:val="24"/>
          <w:shd w:val="clear" w:color="auto" w:fill="FFFFFF"/>
        </w:rPr>
        <w:tab/>
        <w:t>0.07%</w:t>
      </w:r>
    </w:p>
    <w:p w14:paraId="7CBEEF9F" w14:textId="63B1CEF4" w:rsidR="000F0378" w:rsidRDefault="000F0378" w:rsidP="005A7FCA">
      <w:pPr>
        <w:spacing w:after="0"/>
        <w:rPr>
          <w:rFonts w:cstheme="minorHAnsi"/>
          <w:i/>
          <w:szCs w:val="24"/>
          <w:shd w:val="clear" w:color="auto" w:fill="FFFFFF"/>
        </w:rPr>
      </w:pPr>
      <w:r w:rsidRPr="000F0378">
        <w:rPr>
          <w:rFonts w:cstheme="minorHAnsi"/>
          <w:i/>
          <w:szCs w:val="24"/>
          <w:shd w:val="clear" w:color="auto" w:fill="FFFFFF"/>
        </w:rPr>
        <w:t xml:space="preserve">Note:  There are 5.83% of DCFS workforce population who are people with disabilities. </w:t>
      </w:r>
    </w:p>
    <w:p w14:paraId="375D480C" w14:textId="77777777" w:rsidR="005A7FCA" w:rsidRPr="000F0378" w:rsidRDefault="005A7FCA" w:rsidP="005A7FCA">
      <w:pPr>
        <w:spacing w:after="0"/>
        <w:rPr>
          <w:rFonts w:cstheme="minorHAnsi"/>
          <w:i/>
          <w:szCs w:val="24"/>
          <w:shd w:val="clear" w:color="auto" w:fill="FFFFFF"/>
        </w:rPr>
      </w:pPr>
    </w:p>
    <w:p w14:paraId="43FBB068" w14:textId="77777777" w:rsidR="000F0378" w:rsidRPr="000F0378" w:rsidRDefault="000F0378" w:rsidP="005A7FCA">
      <w:pPr>
        <w:pStyle w:val="ListParagraph"/>
        <w:numPr>
          <w:ilvl w:val="0"/>
          <w:numId w:val="47"/>
        </w:numPr>
        <w:spacing w:after="0"/>
        <w:rPr>
          <w:rFonts w:cstheme="minorHAnsi"/>
          <w:szCs w:val="24"/>
          <w:shd w:val="clear" w:color="auto" w:fill="FFFFFF"/>
        </w:rPr>
      </w:pPr>
      <w:r w:rsidRPr="000F0378">
        <w:rPr>
          <w:rFonts w:cstheme="minorHAnsi"/>
          <w:szCs w:val="24"/>
          <w:shd w:val="clear" w:color="auto" w:fill="FFFFFF"/>
        </w:rPr>
        <w:t>DCFS Job Categories</w:t>
      </w:r>
    </w:p>
    <w:p w14:paraId="19E3669D" w14:textId="77777777" w:rsidR="005A7FCA" w:rsidRDefault="005A7FCA" w:rsidP="005A7FCA">
      <w:pPr>
        <w:spacing w:after="0"/>
        <w:rPr>
          <w:rFonts w:cstheme="minorHAnsi"/>
          <w:szCs w:val="24"/>
          <w:shd w:val="clear" w:color="auto" w:fill="FFFFFF"/>
        </w:rPr>
      </w:pPr>
    </w:p>
    <w:p w14:paraId="29AB532F" w14:textId="5D081390" w:rsidR="000F0378" w:rsidRPr="000F0378" w:rsidRDefault="000F0378" w:rsidP="005A7FCA">
      <w:pPr>
        <w:spacing w:after="0"/>
        <w:rPr>
          <w:rFonts w:cstheme="minorHAnsi"/>
          <w:i/>
          <w:szCs w:val="24"/>
        </w:rPr>
      </w:pPr>
      <w:r w:rsidRPr="000F0378">
        <w:rPr>
          <w:rFonts w:cstheme="minorHAnsi"/>
          <w:szCs w:val="24"/>
          <w:shd w:val="clear" w:color="auto" w:fill="FFFFFF"/>
        </w:rPr>
        <w:t xml:space="preserve">The data for DCFS focuses on the three DHR regions that have the largest workforce populations of DCFS staff:  Regions 1, 7, and 8 (see </w:t>
      </w:r>
      <w:r w:rsidR="00007D8D">
        <w:rPr>
          <w:rFonts w:cstheme="minorHAnsi"/>
          <w:szCs w:val="24"/>
          <w:shd w:val="clear" w:color="auto" w:fill="FFFFFF"/>
        </w:rPr>
        <w:t xml:space="preserve">Appendix </w:t>
      </w:r>
      <w:r w:rsidRPr="000F0378">
        <w:rPr>
          <w:rFonts w:cstheme="minorHAnsi"/>
          <w:szCs w:val="24"/>
          <w:shd w:val="clear" w:color="auto" w:fill="FFFFFF"/>
        </w:rPr>
        <w:t>Chart 1)</w:t>
      </w:r>
      <w:r w:rsidR="00007D8D">
        <w:rPr>
          <w:rFonts w:cstheme="minorHAnsi"/>
          <w:szCs w:val="24"/>
          <w:shd w:val="clear" w:color="auto" w:fill="FFFFFF"/>
        </w:rPr>
        <w:t xml:space="preserve">. </w:t>
      </w:r>
      <w:r w:rsidRPr="00007D8D">
        <w:rPr>
          <w:rFonts w:cstheme="minorHAnsi"/>
          <w:szCs w:val="24"/>
          <w:shd w:val="clear" w:color="auto" w:fill="FFFFFF"/>
        </w:rPr>
        <w:t xml:space="preserve">Region 1 includes Chicago and Cook County (Region also includes the following counties:  DuPage, Will, Kankakee, Grundy, Kendall, Kane, </w:t>
      </w:r>
      <w:proofErr w:type="spellStart"/>
      <w:r w:rsidRPr="00007D8D">
        <w:rPr>
          <w:rFonts w:cstheme="minorHAnsi"/>
          <w:szCs w:val="24"/>
          <w:shd w:val="clear" w:color="auto" w:fill="FFFFFF"/>
        </w:rPr>
        <w:t>Dekalb</w:t>
      </w:r>
      <w:proofErr w:type="spellEnd"/>
      <w:r w:rsidRPr="00007D8D">
        <w:rPr>
          <w:rFonts w:cstheme="minorHAnsi"/>
          <w:szCs w:val="24"/>
          <w:shd w:val="clear" w:color="auto" w:fill="FFFFFF"/>
        </w:rPr>
        <w:t xml:space="preserve">, McHenry, and Lake).  Region 7 encompasses Springfield and parts of the central region (counties of Logan, Menard, Greene, Scott, </w:t>
      </w:r>
      <w:proofErr w:type="spellStart"/>
      <w:r w:rsidRPr="00007D8D">
        <w:rPr>
          <w:rFonts w:cstheme="minorHAnsi"/>
          <w:szCs w:val="24"/>
          <w:shd w:val="clear" w:color="auto" w:fill="FFFFFF"/>
        </w:rPr>
        <w:t>Maucopin</w:t>
      </w:r>
      <w:proofErr w:type="spellEnd"/>
      <w:r w:rsidRPr="00007D8D">
        <w:rPr>
          <w:rFonts w:cstheme="minorHAnsi"/>
          <w:szCs w:val="24"/>
          <w:shd w:val="clear" w:color="auto" w:fill="FFFFFF"/>
        </w:rPr>
        <w:t>, Montgomery, Christian, Shelby, Macon, Morgan, and Cass); Region 8 encompass (counties of St. Clair, Bond, Madison, Jersey, Calhoun, Clinton, Washington, Randolph, and Monroe).</w:t>
      </w:r>
      <w:r w:rsidR="00007D8D">
        <w:rPr>
          <w:rFonts w:cstheme="minorHAnsi"/>
          <w:szCs w:val="24"/>
        </w:rPr>
        <w:t xml:space="preserve"> </w:t>
      </w:r>
      <w:r w:rsidRPr="000F0378">
        <w:rPr>
          <w:rFonts w:cstheme="minorHAnsi"/>
          <w:szCs w:val="24"/>
        </w:rPr>
        <w:t>Because of the racial diversity in different regions, it is expected that different races may be represented at a hig</w:t>
      </w:r>
      <w:r w:rsidR="00007D8D">
        <w:rPr>
          <w:rFonts w:cstheme="minorHAnsi"/>
          <w:szCs w:val="24"/>
        </w:rPr>
        <w:t xml:space="preserve">her or lower rate than others. </w:t>
      </w:r>
      <w:r w:rsidRPr="000F0378">
        <w:rPr>
          <w:rFonts w:cstheme="minorHAnsi"/>
          <w:szCs w:val="24"/>
        </w:rPr>
        <w:t xml:space="preserve">However, a large disparity between the EEO job categories has emerged from the data.  </w:t>
      </w:r>
    </w:p>
    <w:p w14:paraId="7943C9C1" w14:textId="77777777" w:rsidR="00007D8D" w:rsidRDefault="00007D8D" w:rsidP="00007D8D">
      <w:pPr>
        <w:spacing w:after="0"/>
        <w:rPr>
          <w:rFonts w:cstheme="minorHAnsi"/>
          <w:szCs w:val="24"/>
        </w:rPr>
      </w:pPr>
    </w:p>
    <w:p w14:paraId="2CA2FDE7" w14:textId="20B9216B" w:rsidR="000F0378" w:rsidRPr="00EE2BD1" w:rsidRDefault="000F0378" w:rsidP="00EE2BD1">
      <w:pPr>
        <w:pStyle w:val="ListParagraph"/>
        <w:numPr>
          <w:ilvl w:val="0"/>
          <w:numId w:val="49"/>
        </w:numPr>
        <w:spacing w:after="0"/>
        <w:rPr>
          <w:rFonts w:cstheme="minorHAnsi"/>
          <w:szCs w:val="24"/>
        </w:rPr>
      </w:pPr>
      <w:r w:rsidRPr="00EE2BD1">
        <w:rPr>
          <w:rFonts w:cstheme="minorHAnsi"/>
          <w:szCs w:val="24"/>
        </w:rPr>
        <w:t>In Region 1, the</w:t>
      </w:r>
      <w:r w:rsidRPr="00EE2BD1">
        <w:rPr>
          <w:rFonts w:cstheme="minorHAnsi"/>
          <w:b/>
          <w:szCs w:val="24"/>
        </w:rPr>
        <w:t xml:space="preserve"> data indicates a rich representation of people of color </w:t>
      </w:r>
      <w:r w:rsidRPr="00EE2BD1">
        <w:rPr>
          <w:rFonts w:cstheme="minorHAnsi"/>
          <w:szCs w:val="24"/>
        </w:rPr>
        <w:t>as evidenced by</w:t>
      </w:r>
      <w:r w:rsidRPr="00EE2BD1">
        <w:rPr>
          <w:rFonts w:cstheme="minorHAnsi"/>
          <w:b/>
          <w:szCs w:val="24"/>
        </w:rPr>
        <w:t xml:space="preserve"> Black (61.43%) and Latino (18.86%) comprising 80.29% of the staff </w:t>
      </w:r>
      <w:r w:rsidRPr="00EE2BD1">
        <w:rPr>
          <w:rFonts w:cstheme="minorHAnsi"/>
          <w:szCs w:val="24"/>
        </w:rPr>
        <w:t xml:space="preserve">across all categories.    </w:t>
      </w:r>
    </w:p>
    <w:p w14:paraId="0F2B0829" w14:textId="77777777" w:rsidR="00EE2BD1" w:rsidRDefault="000F0378" w:rsidP="00633484">
      <w:pPr>
        <w:pStyle w:val="ListParagraph"/>
        <w:numPr>
          <w:ilvl w:val="0"/>
          <w:numId w:val="49"/>
        </w:numPr>
        <w:spacing w:after="0"/>
        <w:rPr>
          <w:rFonts w:cstheme="minorHAnsi"/>
          <w:szCs w:val="24"/>
        </w:rPr>
      </w:pPr>
      <w:r w:rsidRPr="00EE2BD1">
        <w:rPr>
          <w:rFonts w:cstheme="minorHAnsi"/>
          <w:szCs w:val="24"/>
        </w:rPr>
        <w:t xml:space="preserve">In Region 7 White employees outnumber Black and Latino employees significantly.  </w:t>
      </w:r>
      <w:r w:rsidRPr="00EE2BD1">
        <w:rPr>
          <w:rFonts w:cstheme="minorHAnsi"/>
          <w:b/>
          <w:szCs w:val="24"/>
        </w:rPr>
        <w:t xml:space="preserve">The data across all job categories shows at least 80% of the workforce is White.  </w:t>
      </w:r>
      <w:r w:rsidRPr="00EE2BD1">
        <w:rPr>
          <w:rFonts w:cstheme="minorHAnsi"/>
          <w:szCs w:val="24"/>
        </w:rPr>
        <w:t xml:space="preserve">86% of </w:t>
      </w:r>
      <w:r w:rsidRPr="00067C30">
        <w:rPr>
          <w:rFonts w:cstheme="minorHAnsi"/>
          <w:szCs w:val="24"/>
        </w:rPr>
        <w:t>Officials/Administrators i</w:t>
      </w:r>
      <w:r w:rsidRPr="00EE2BD1">
        <w:rPr>
          <w:rFonts w:cstheme="minorHAnsi"/>
          <w:szCs w:val="24"/>
        </w:rPr>
        <w:t>n Region 7 are White.  There is a need for more diversity in Region 7.</w:t>
      </w:r>
    </w:p>
    <w:p w14:paraId="29CB500C" w14:textId="6F85890D" w:rsidR="000F0378" w:rsidRPr="00EE2BD1" w:rsidRDefault="000F0378" w:rsidP="00633484">
      <w:pPr>
        <w:pStyle w:val="ListParagraph"/>
        <w:numPr>
          <w:ilvl w:val="0"/>
          <w:numId w:val="49"/>
        </w:numPr>
        <w:spacing w:after="0"/>
        <w:rPr>
          <w:rFonts w:cstheme="minorHAnsi"/>
          <w:szCs w:val="24"/>
        </w:rPr>
      </w:pPr>
      <w:r w:rsidRPr="00EE2BD1">
        <w:rPr>
          <w:rFonts w:cstheme="minorHAnsi"/>
          <w:szCs w:val="24"/>
        </w:rPr>
        <w:t xml:space="preserve">Region 8 has disparity across all job categories as </w:t>
      </w:r>
      <w:r w:rsidRPr="00EE2BD1">
        <w:rPr>
          <w:rFonts w:cstheme="minorHAnsi"/>
          <w:b/>
          <w:szCs w:val="24"/>
        </w:rPr>
        <w:t>there are no Latinos reported to be working for DCFS</w:t>
      </w:r>
      <w:r w:rsidRPr="00EE2BD1">
        <w:rPr>
          <w:rFonts w:cstheme="minorHAnsi"/>
          <w:szCs w:val="24"/>
        </w:rPr>
        <w:t xml:space="preserve"> in </w:t>
      </w:r>
      <w:r w:rsidRPr="00EE2BD1">
        <w:rPr>
          <w:rFonts w:cstheme="minorHAnsi"/>
          <w:szCs w:val="24"/>
          <w:shd w:val="clear" w:color="auto" w:fill="FFFFFF"/>
        </w:rPr>
        <w:t>St. Clair, Bond, Madison, Jersey, Calhoun, Clinton, Washington, Randolph, and Monroe</w:t>
      </w:r>
      <w:r w:rsidR="00067C30">
        <w:rPr>
          <w:rFonts w:cstheme="minorHAnsi"/>
          <w:szCs w:val="24"/>
        </w:rPr>
        <w:t xml:space="preserve"> counties. </w:t>
      </w:r>
      <w:r w:rsidR="00067C30">
        <w:rPr>
          <w:rFonts w:cstheme="minorHAnsi"/>
          <w:b/>
          <w:szCs w:val="24"/>
        </w:rPr>
        <w:t>The data demonstrate</w:t>
      </w:r>
      <w:r w:rsidRPr="00EE2BD1">
        <w:rPr>
          <w:rFonts w:cstheme="minorHAnsi"/>
          <w:b/>
          <w:szCs w:val="24"/>
        </w:rPr>
        <w:t xml:space="preserve"> a lack of diversity and inclusion for Latinos</w:t>
      </w:r>
      <w:r w:rsidRPr="00EE2BD1">
        <w:rPr>
          <w:rFonts w:cstheme="minorHAnsi"/>
          <w:szCs w:val="24"/>
        </w:rPr>
        <w:t>. Region 8 has the third highest number of employees.  The baseline data demonstrates a need for the hiring of Latino staff across all job categories (see Chart 1).</w:t>
      </w:r>
    </w:p>
    <w:p w14:paraId="77CAB140" w14:textId="77777777" w:rsidR="000F0378" w:rsidRPr="000F0378" w:rsidRDefault="000F0378" w:rsidP="000F0378">
      <w:pPr>
        <w:rPr>
          <w:rFonts w:cstheme="minorHAnsi"/>
          <w:szCs w:val="24"/>
        </w:rPr>
      </w:pPr>
    </w:p>
    <w:p w14:paraId="35FEDCBC" w14:textId="77777777" w:rsidR="000F0378" w:rsidRPr="000F0378" w:rsidRDefault="000F0378" w:rsidP="00067C30">
      <w:pPr>
        <w:spacing w:after="0"/>
        <w:rPr>
          <w:rFonts w:cstheme="minorHAnsi"/>
          <w:b/>
          <w:szCs w:val="24"/>
          <w:u w:val="single"/>
          <w:shd w:val="clear" w:color="auto" w:fill="FFFFFF"/>
        </w:rPr>
      </w:pPr>
      <w:r w:rsidRPr="000F0378">
        <w:rPr>
          <w:rFonts w:cstheme="minorHAnsi"/>
          <w:b/>
          <w:szCs w:val="24"/>
          <w:u w:val="single"/>
          <w:shd w:val="clear" w:color="auto" w:fill="FFFFFF"/>
        </w:rPr>
        <w:t>PURCHASE OF SERVICE AGENCIES WORKFORCE DATA ANALYSIS</w:t>
      </w:r>
    </w:p>
    <w:p w14:paraId="41034315" w14:textId="77777777" w:rsidR="00067C30" w:rsidRDefault="00067C30" w:rsidP="00067C30">
      <w:pPr>
        <w:spacing w:after="0"/>
        <w:rPr>
          <w:rFonts w:cstheme="minorHAnsi"/>
          <w:szCs w:val="24"/>
          <w:shd w:val="clear" w:color="auto" w:fill="FFFFFF"/>
        </w:rPr>
      </w:pPr>
    </w:p>
    <w:p w14:paraId="0D66F523" w14:textId="2329E6DA" w:rsidR="000F0378" w:rsidRDefault="000F0378" w:rsidP="00067C30">
      <w:pPr>
        <w:spacing w:after="0"/>
        <w:rPr>
          <w:rFonts w:cstheme="minorHAnsi"/>
          <w:szCs w:val="24"/>
          <w:shd w:val="clear" w:color="auto" w:fill="FFFFFF"/>
        </w:rPr>
      </w:pPr>
      <w:r w:rsidRPr="000F0378">
        <w:rPr>
          <w:rFonts w:cstheme="minorHAnsi"/>
          <w:szCs w:val="24"/>
          <w:shd w:val="clear" w:color="auto" w:fill="FFFFFF"/>
        </w:rPr>
        <w:t xml:space="preserve">The Purchase of Service (POS) agencies report human resource information directly to DCFS by completing the Title VI compliance packets. The Title VI compliance packet is a mandatory, annual report that POS agencies provide to DCFS a detailed reporting on the diversity of their staff.  The POS agencies are mandated by the federal government to comply with Title VI </w:t>
      </w:r>
      <w:r w:rsidR="00067C30">
        <w:rPr>
          <w:rFonts w:cstheme="minorHAnsi"/>
          <w:szCs w:val="24"/>
          <w:shd w:val="clear" w:color="auto" w:fill="FFFFFF"/>
        </w:rPr>
        <w:t xml:space="preserve">reporting requirements. </w:t>
      </w:r>
      <w:r w:rsidRPr="000F0378">
        <w:rPr>
          <w:rFonts w:cstheme="minorHAnsi"/>
          <w:szCs w:val="24"/>
          <w:shd w:val="clear" w:color="auto" w:fill="FFFFFF"/>
        </w:rPr>
        <w:t>For the purposes of this analysis, DCFS used the same format that the DHR uses to analyze all state workforce data</w:t>
      </w:r>
      <w:r w:rsidR="00067C30">
        <w:rPr>
          <w:rFonts w:cstheme="minorHAnsi"/>
          <w:szCs w:val="24"/>
          <w:shd w:val="clear" w:color="auto" w:fill="FFFFFF"/>
        </w:rPr>
        <w:t xml:space="preserve">. </w:t>
      </w:r>
      <w:r w:rsidRPr="000F0378">
        <w:rPr>
          <w:rFonts w:cstheme="minorHAnsi"/>
          <w:szCs w:val="24"/>
          <w:shd w:val="clear" w:color="auto" w:fill="FFFFFF"/>
        </w:rPr>
        <w:t xml:space="preserve">All forms and reports mentioned in this analysis are forms and reports utilized by DHR.  </w:t>
      </w:r>
    </w:p>
    <w:p w14:paraId="198A040D" w14:textId="77777777" w:rsidR="00067C30" w:rsidRPr="000F0378" w:rsidRDefault="00067C30" w:rsidP="00067C30">
      <w:pPr>
        <w:spacing w:after="0"/>
        <w:rPr>
          <w:rFonts w:cstheme="minorHAnsi"/>
          <w:i/>
          <w:szCs w:val="24"/>
          <w:shd w:val="clear" w:color="auto" w:fill="FFFFFF"/>
        </w:rPr>
      </w:pPr>
    </w:p>
    <w:p w14:paraId="41D6F537" w14:textId="77777777" w:rsidR="000F0378" w:rsidRPr="000F0378" w:rsidRDefault="000F0378" w:rsidP="00067C30">
      <w:pPr>
        <w:pStyle w:val="ListParagraph"/>
        <w:numPr>
          <w:ilvl w:val="0"/>
          <w:numId w:val="47"/>
        </w:numPr>
        <w:spacing w:after="0"/>
        <w:rPr>
          <w:rFonts w:cstheme="minorHAnsi"/>
          <w:szCs w:val="24"/>
          <w:shd w:val="clear" w:color="auto" w:fill="FFFFFF"/>
        </w:rPr>
      </w:pPr>
      <w:r w:rsidRPr="000F0378">
        <w:rPr>
          <w:rFonts w:cstheme="minorHAnsi"/>
          <w:szCs w:val="24"/>
          <w:shd w:val="clear" w:color="auto" w:fill="FFFFFF"/>
        </w:rPr>
        <w:t>POS Gender and Race</w:t>
      </w:r>
    </w:p>
    <w:p w14:paraId="49A4DB28" w14:textId="77777777" w:rsidR="00067C30" w:rsidRDefault="00067C30" w:rsidP="00067C30">
      <w:pPr>
        <w:spacing w:after="0"/>
        <w:rPr>
          <w:rFonts w:cstheme="minorHAnsi"/>
          <w:szCs w:val="24"/>
          <w:shd w:val="clear" w:color="auto" w:fill="FFFFFF"/>
        </w:rPr>
      </w:pPr>
    </w:p>
    <w:p w14:paraId="4120D665" w14:textId="73F04700" w:rsidR="000F0378" w:rsidRPr="000F0378" w:rsidRDefault="000F0378" w:rsidP="00067C30">
      <w:pPr>
        <w:spacing w:after="0"/>
        <w:rPr>
          <w:rFonts w:cstheme="minorHAnsi"/>
          <w:szCs w:val="24"/>
          <w:shd w:val="clear" w:color="auto" w:fill="FFFFFF"/>
        </w:rPr>
      </w:pPr>
      <w:r w:rsidRPr="000F0378">
        <w:rPr>
          <w:rFonts w:cstheme="minorHAnsi"/>
          <w:szCs w:val="24"/>
          <w:shd w:val="clear" w:color="auto" w:fill="FFFFFF"/>
        </w:rPr>
        <w:t xml:space="preserve">The Workforce Analysis form (DHR-9) by region details the present number of employees in each Equal Employment Opportunity (EEO) by job category, race and sex. Each region is displayed separately and has a combined total by race and sex for all regions. Data received from POS agencies indicate the following:  </w:t>
      </w:r>
    </w:p>
    <w:p w14:paraId="23CDB909" w14:textId="77777777" w:rsidR="000F0378" w:rsidRPr="000F0378" w:rsidRDefault="000F0378" w:rsidP="00067C30">
      <w:pPr>
        <w:spacing w:after="0"/>
        <w:ind w:firstLine="720"/>
        <w:rPr>
          <w:rFonts w:cstheme="minorHAnsi"/>
          <w:i/>
          <w:szCs w:val="24"/>
          <w:shd w:val="clear" w:color="auto" w:fill="FFFFFF"/>
        </w:rPr>
      </w:pPr>
      <w:r w:rsidRPr="000F0378">
        <w:rPr>
          <w:rFonts w:cstheme="minorHAnsi"/>
          <w:i/>
          <w:szCs w:val="24"/>
          <w:shd w:val="clear" w:color="auto" w:fill="FFFFFF"/>
        </w:rPr>
        <w:t>Gender</w:t>
      </w:r>
    </w:p>
    <w:p w14:paraId="264047AB" w14:textId="5686550B" w:rsidR="000F0378" w:rsidRPr="000F0378" w:rsidRDefault="000F0378" w:rsidP="00067C30">
      <w:pPr>
        <w:pStyle w:val="ListParagraph"/>
        <w:numPr>
          <w:ilvl w:val="0"/>
          <w:numId w:val="44"/>
        </w:numPr>
        <w:spacing w:after="0"/>
        <w:rPr>
          <w:rFonts w:cstheme="minorHAnsi"/>
          <w:szCs w:val="24"/>
          <w:shd w:val="clear" w:color="auto" w:fill="FFFFFF"/>
        </w:rPr>
      </w:pPr>
      <w:r w:rsidRPr="000F0378">
        <w:rPr>
          <w:rFonts w:cstheme="minorHAnsi"/>
          <w:szCs w:val="24"/>
          <w:shd w:val="clear" w:color="auto" w:fill="FFFFFF"/>
        </w:rPr>
        <w:t xml:space="preserve">Males:  </w:t>
      </w:r>
      <w:r w:rsidRPr="000F0378">
        <w:rPr>
          <w:rFonts w:cstheme="minorHAnsi"/>
          <w:szCs w:val="24"/>
          <w:shd w:val="clear" w:color="auto" w:fill="FFFFFF"/>
        </w:rPr>
        <w:tab/>
      </w:r>
      <w:r w:rsidRPr="000F0378">
        <w:rPr>
          <w:rFonts w:cstheme="minorHAnsi"/>
          <w:szCs w:val="24"/>
          <w:shd w:val="clear" w:color="auto" w:fill="FFFFFF"/>
        </w:rPr>
        <w:tab/>
        <w:t xml:space="preserve">20.26% of workforce population </w:t>
      </w:r>
    </w:p>
    <w:p w14:paraId="0B0A23D8" w14:textId="77777777" w:rsidR="000F0378" w:rsidRPr="000F0378" w:rsidRDefault="000F0378" w:rsidP="00067C30">
      <w:pPr>
        <w:pStyle w:val="ListParagraph"/>
        <w:numPr>
          <w:ilvl w:val="0"/>
          <w:numId w:val="44"/>
        </w:numPr>
        <w:spacing w:after="0"/>
        <w:rPr>
          <w:rFonts w:cstheme="minorHAnsi"/>
          <w:szCs w:val="24"/>
          <w:shd w:val="clear" w:color="auto" w:fill="FFFFFF"/>
        </w:rPr>
      </w:pPr>
      <w:r w:rsidRPr="000F0378">
        <w:rPr>
          <w:rFonts w:cstheme="minorHAnsi"/>
          <w:szCs w:val="24"/>
          <w:shd w:val="clear" w:color="auto" w:fill="FFFFFF"/>
        </w:rPr>
        <w:t xml:space="preserve">Females: </w:t>
      </w:r>
      <w:r w:rsidRPr="000F0378">
        <w:rPr>
          <w:rFonts w:cstheme="minorHAnsi"/>
          <w:szCs w:val="24"/>
          <w:shd w:val="clear" w:color="auto" w:fill="FFFFFF"/>
        </w:rPr>
        <w:tab/>
      </w:r>
      <w:r w:rsidRPr="000F0378">
        <w:rPr>
          <w:rFonts w:cstheme="minorHAnsi"/>
          <w:szCs w:val="24"/>
          <w:shd w:val="clear" w:color="auto" w:fill="FFFFFF"/>
        </w:rPr>
        <w:tab/>
        <w:t>79.74% of the workforce population</w:t>
      </w:r>
    </w:p>
    <w:p w14:paraId="1F0DDC34" w14:textId="77777777" w:rsidR="000F0378" w:rsidRPr="000F0378" w:rsidRDefault="000F0378" w:rsidP="00067C30">
      <w:pPr>
        <w:spacing w:after="0"/>
        <w:ind w:firstLine="720"/>
        <w:rPr>
          <w:rFonts w:cstheme="minorHAnsi"/>
          <w:i/>
          <w:szCs w:val="24"/>
          <w:shd w:val="clear" w:color="auto" w:fill="FFFFFF"/>
        </w:rPr>
      </w:pPr>
      <w:r w:rsidRPr="000F0378">
        <w:rPr>
          <w:rFonts w:cstheme="minorHAnsi"/>
          <w:i/>
          <w:szCs w:val="24"/>
          <w:shd w:val="clear" w:color="auto" w:fill="FFFFFF"/>
        </w:rPr>
        <w:t xml:space="preserve">Race  </w:t>
      </w:r>
    </w:p>
    <w:p w14:paraId="71C57C59" w14:textId="77777777" w:rsidR="000F0378" w:rsidRPr="000F0378" w:rsidRDefault="000F0378" w:rsidP="00067C30">
      <w:pPr>
        <w:pStyle w:val="ListParagraph"/>
        <w:numPr>
          <w:ilvl w:val="1"/>
          <w:numId w:val="43"/>
        </w:numPr>
        <w:spacing w:after="0"/>
        <w:rPr>
          <w:rFonts w:cstheme="minorHAnsi"/>
          <w:szCs w:val="24"/>
          <w:shd w:val="clear" w:color="auto" w:fill="FFFFFF"/>
        </w:rPr>
      </w:pPr>
      <w:r w:rsidRPr="000F0378">
        <w:rPr>
          <w:rFonts w:cstheme="minorHAnsi"/>
          <w:szCs w:val="24"/>
          <w:shd w:val="clear" w:color="auto" w:fill="FFFFFF"/>
        </w:rPr>
        <w:t xml:space="preserve">Black:  </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34.71%</w:t>
      </w:r>
    </w:p>
    <w:p w14:paraId="40404AC8" w14:textId="77777777" w:rsidR="000F0378" w:rsidRPr="000F0378" w:rsidRDefault="000F0378" w:rsidP="00067C30">
      <w:pPr>
        <w:pStyle w:val="ListParagraph"/>
        <w:numPr>
          <w:ilvl w:val="1"/>
          <w:numId w:val="43"/>
        </w:numPr>
        <w:spacing w:after="0"/>
        <w:rPr>
          <w:rFonts w:cstheme="minorHAnsi"/>
          <w:szCs w:val="24"/>
          <w:shd w:val="clear" w:color="auto" w:fill="FFFFFF"/>
        </w:rPr>
      </w:pPr>
      <w:r w:rsidRPr="000F0378">
        <w:rPr>
          <w:rFonts w:cstheme="minorHAnsi"/>
          <w:szCs w:val="24"/>
          <w:shd w:val="clear" w:color="auto" w:fill="FFFFFF"/>
        </w:rPr>
        <w:t>Latino:</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13.59%</w:t>
      </w:r>
    </w:p>
    <w:p w14:paraId="7D81BC96" w14:textId="77777777" w:rsidR="000F0378" w:rsidRPr="000F0378" w:rsidRDefault="000F0378" w:rsidP="00067C30">
      <w:pPr>
        <w:pStyle w:val="ListParagraph"/>
        <w:numPr>
          <w:ilvl w:val="1"/>
          <w:numId w:val="43"/>
        </w:numPr>
        <w:spacing w:after="0"/>
        <w:rPr>
          <w:rFonts w:cstheme="minorHAnsi"/>
          <w:szCs w:val="24"/>
          <w:shd w:val="clear" w:color="auto" w:fill="FFFFFF"/>
        </w:rPr>
      </w:pPr>
      <w:r w:rsidRPr="000F0378">
        <w:rPr>
          <w:rFonts w:cstheme="minorHAnsi"/>
          <w:szCs w:val="24"/>
          <w:shd w:val="clear" w:color="auto" w:fill="FFFFFF"/>
        </w:rPr>
        <w:t>White:</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48.57%</w:t>
      </w:r>
    </w:p>
    <w:p w14:paraId="752CAFD7" w14:textId="77777777" w:rsidR="000F0378" w:rsidRPr="000F0378" w:rsidRDefault="000F0378" w:rsidP="00067C30">
      <w:pPr>
        <w:pStyle w:val="ListParagraph"/>
        <w:numPr>
          <w:ilvl w:val="1"/>
          <w:numId w:val="43"/>
        </w:numPr>
        <w:spacing w:after="0"/>
        <w:rPr>
          <w:rFonts w:cstheme="minorHAnsi"/>
          <w:szCs w:val="24"/>
          <w:shd w:val="clear" w:color="auto" w:fill="FFFFFF"/>
        </w:rPr>
      </w:pPr>
      <w:r w:rsidRPr="000F0378">
        <w:rPr>
          <w:rFonts w:cstheme="minorHAnsi"/>
          <w:szCs w:val="24"/>
          <w:shd w:val="clear" w:color="auto" w:fill="FFFFFF"/>
        </w:rPr>
        <w:t>Asian:</w:t>
      </w:r>
      <w:r w:rsidRPr="000F0378">
        <w:rPr>
          <w:rFonts w:cstheme="minorHAnsi"/>
          <w:szCs w:val="24"/>
          <w:shd w:val="clear" w:color="auto" w:fill="FFFFFF"/>
        </w:rPr>
        <w:tab/>
      </w:r>
      <w:r w:rsidRPr="000F0378">
        <w:rPr>
          <w:rFonts w:cstheme="minorHAnsi"/>
          <w:szCs w:val="24"/>
          <w:shd w:val="clear" w:color="auto" w:fill="FFFFFF"/>
        </w:rPr>
        <w:tab/>
      </w:r>
      <w:r w:rsidRPr="000F0378">
        <w:rPr>
          <w:rFonts w:cstheme="minorHAnsi"/>
          <w:szCs w:val="24"/>
          <w:shd w:val="clear" w:color="auto" w:fill="FFFFFF"/>
        </w:rPr>
        <w:tab/>
        <w:t>2.89%</w:t>
      </w:r>
    </w:p>
    <w:p w14:paraId="4E62B3EE" w14:textId="77777777" w:rsidR="000F0378" w:rsidRPr="000F0378" w:rsidRDefault="000F0378" w:rsidP="00067C30">
      <w:pPr>
        <w:pStyle w:val="ListParagraph"/>
        <w:numPr>
          <w:ilvl w:val="1"/>
          <w:numId w:val="43"/>
        </w:numPr>
        <w:spacing w:after="0"/>
        <w:rPr>
          <w:rFonts w:cstheme="minorHAnsi"/>
          <w:szCs w:val="24"/>
          <w:shd w:val="clear" w:color="auto" w:fill="FFFFFF"/>
        </w:rPr>
      </w:pPr>
      <w:r w:rsidRPr="000F0378">
        <w:rPr>
          <w:rFonts w:cstheme="minorHAnsi"/>
          <w:szCs w:val="24"/>
          <w:shd w:val="clear" w:color="auto" w:fill="FFFFFF"/>
        </w:rPr>
        <w:t>Native American/</w:t>
      </w:r>
    </w:p>
    <w:p w14:paraId="3B9D8FCC" w14:textId="77777777" w:rsidR="000F0378" w:rsidRPr="000F0378" w:rsidRDefault="000F0378" w:rsidP="00067C30">
      <w:pPr>
        <w:spacing w:after="0"/>
        <w:ind w:left="720" w:firstLine="720"/>
        <w:rPr>
          <w:rFonts w:cstheme="minorHAnsi"/>
          <w:szCs w:val="24"/>
          <w:shd w:val="clear" w:color="auto" w:fill="FFFFFF"/>
        </w:rPr>
      </w:pPr>
      <w:r w:rsidRPr="000F0378">
        <w:rPr>
          <w:rFonts w:cstheme="minorHAnsi"/>
          <w:szCs w:val="24"/>
          <w:shd w:val="clear" w:color="auto" w:fill="FFFFFF"/>
        </w:rPr>
        <w:t xml:space="preserve">Alaskan Native: </w:t>
      </w:r>
      <w:r w:rsidRPr="000F0378">
        <w:rPr>
          <w:rFonts w:cstheme="minorHAnsi"/>
          <w:szCs w:val="24"/>
          <w:shd w:val="clear" w:color="auto" w:fill="FFFFFF"/>
        </w:rPr>
        <w:tab/>
      </w:r>
      <w:r w:rsidRPr="000F0378">
        <w:rPr>
          <w:rFonts w:cstheme="minorHAnsi"/>
          <w:szCs w:val="24"/>
          <w:shd w:val="clear" w:color="auto" w:fill="FFFFFF"/>
        </w:rPr>
        <w:tab/>
        <w:t>.25%</w:t>
      </w:r>
    </w:p>
    <w:p w14:paraId="26A252E3" w14:textId="77777777" w:rsidR="000F0378" w:rsidRPr="000F0378" w:rsidRDefault="000F0378" w:rsidP="00067C30">
      <w:pPr>
        <w:spacing w:after="0"/>
        <w:ind w:firstLine="720"/>
        <w:rPr>
          <w:rFonts w:cstheme="minorHAnsi"/>
          <w:szCs w:val="24"/>
          <w:shd w:val="clear" w:color="auto" w:fill="FFFFFF"/>
        </w:rPr>
      </w:pPr>
    </w:p>
    <w:p w14:paraId="3C5296C5" w14:textId="6952AE81" w:rsidR="000F0378" w:rsidRDefault="000F0378" w:rsidP="00067C30">
      <w:pPr>
        <w:spacing w:after="0"/>
        <w:rPr>
          <w:rFonts w:cstheme="minorHAnsi"/>
          <w:i/>
          <w:szCs w:val="24"/>
          <w:shd w:val="clear" w:color="auto" w:fill="FFFFFF"/>
        </w:rPr>
      </w:pPr>
      <w:r w:rsidRPr="000F0378">
        <w:rPr>
          <w:rFonts w:cstheme="minorHAnsi"/>
          <w:i/>
          <w:szCs w:val="24"/>
          <w:shd w:val="clear" w:color="auto" w:fill="FFFFFF"/>
        </w:rPr>
        <w:t xml:space="preserve">Note:  POS agencies indicated that no people within their workforce population are people with disabilities. This may be a data discrepancy that speaks to a need for training on the accurate completion of the Title VI packets. </w:t>
      </w:r>
    </w:p>
    <w:p w14:paraId="23FD7244" w14:textId="77777777" w:rsidR="005A7FCA" w:rsidRPr="000F0378" w:rsidRDefault="005A7FCA" w:rsidP="00067C30">
      <w:pPr>
        <w:spacing w:after="0"/>
        <w:rPr>
          <w:rFonts w:cstheme="minorHAnsi"/>
          <w:i/>
          <w:szCs w:val="24"/>
          <w:shd w:val="clear" w:color="auto" w:fill="FFFFFF"/>
        </w:rPr>
      </w:pPr>
    </w:p>
    <w:p w14:paraId="476EE845" w14:textId="77777777" w:rsidR="000F0378" w:rsidRPr="000F0378" w:rsidRDefault="000F0378" w:rsidP="000F0378">
      <w:pPr>
        <w:pStyle w:val="ListParagraph"/>
        <w:numPr>
          <w:ilvl w:val="0"/>
          <w:numId w:val="47"/>
        </w:numPr>
        <w:spacing w:after="160"/>
        <w:rPr>
          <w:rFonts w:cstheme="minorHAnsi"/>
          <w:szCs w:val="24"/>
          <w:shd w:val="clear" w:color="auto" w:fill="FFFFFF"/>
        </w:rPr>
      </w:pPr>
      <w:r w:rsidRPr="000F0378">
        <w:rPr>
          <w:rFonts w:cstheme="minorHAnsi"/>
          <w:szCs w:val="24"/>
          <w:shd w:val="clear" w:color="auto" w:fill="FFFFFF"/>
        </w:rPr>
        <w:t>POS Job Categories</w:t>
      </w:r>
    </w:p>
    <w:p w14:paraId="04D17DB4" w14:textId="77777777" w:rsidR="000F0378" w:rsidRPr="009B61CB" w:rsidRDefault="000F0378" w:rsidP="009B61CB">
      <w:pPr>
        <w:spacing w:after="0"/>
        <w:rPr>
          <w:rFonts w:cstheme="minorHAnsi"/>
          <w:szCs w:val="24"/>
          <w:shd w:val="clear" w:color="auto" w:fill="FFFFFF"/>
        </w:rPr>
      </w:pPr>
      <w:r w:rsidRPr="000F0378">
        <w:rPr>
          <w:rFonts w:cstheme="minorHAnsi"/>
          <w:szCs w:val="24"/>
          <w:shd w:val="clear" w:color="auto" w:fill="FFFFFF"/>
        </w:rPr>
        <w:t xml:space="preserve">This POS data set focuses on the three DHR regions that have the largest workforce populations for Child Welfare private agency staff:  </w:t>
      </w:r>
      <w:r w:rsidRPr="009B61CB">
        <w:rPr>
          <w:rFonts w:cstheme="minorHAnsi"/>
          <w:szCs w:val="24"/>
          <w:shd w:val="clear" w:color="auto" w:fill="FFFFFF"/>
        </w:rPr>
        <w:t xml:space="preserve">Regions 1, 2, and 7Region 1 includes Chicago and Cook County (Region also includes the following counties:  DuPage, Will, Kankakee, Grundy, Kendall, Kane, </w:t>
      </w:r>
      <w:proofErr w:type="spellStart"/>
      <w:r w:rsidRPr="009B61CB">
        <w:rPr>
          <w:rFonts w:cstheme="minorHAnsi"/>
          <w:szCs w:val="24"/>
          <w:shd w:val="clear" w:color="auto" w:fill="FFFFFF"/>
        </w:rPr>
        <w:t>Dekalb</w:t>
      </w:r>
      <w:proofErr w:type="spellEnd"/>
      <w:r w:rsidRPr="009B61CB">
        <w:rPr>
          <w:rFonts w:cstheme="minorHAnsi"/>
          <w:szCs w:val="24"/>
          <w:shd w:val="clear" w:color="auto" w:fill="FFFFFF"/>
        </w:rPr>
        <w:t>, McHenry, and Lake). Region 2 encompasses Rockford and parts of the northern region (counties of Stephenson, Winnebago, Boone and Ogle); Region 7 encompasses Springfield and parts of the central region (counties of Logan, Menard, Greene, Scott, Macoupin, Montgomery, Christian, Shelby, Macon, Morgan, and Cass).</w:t>
      </w:r>
    </w:p>
    <w:p w14:paraId="77085663" w14:textId="77777777" w:rsidR="009B61CB" w:rsidRDefault="009B61CB" w:rsidP="009B61CB">
      <w:pPr>
        <w:spacing w:after="0"/>
        <w:rPr>
          <w:rFonts w:cstheme="minorHAnsi"/>
          <w:szCs w:val="24"/>
          <w:shd w:val="clear" w:color="auto" w:fill="FFFFFF"/>
        </w:rPr>
      </w:pPr>
    </w:p>
    <w:p w14:paraId="73D025AC" w14:textId="0936C0D9" w:rsidR="000F0378" w:rsidRPr="000F0378" w:rsidRDefault="000F0378" w:rsidP="009B61CB">
      <w:pPr>
        <w:spacing w:after="0"/>
        <w:rPr>
          <w:rFonts w:cstheme="minorHAnsi"/>
          <w:szCs w:val="24"/>
        </w:rPr>
      </w:pPr>
      <w:r w:rsidRPr="000F0378">
        <w:rPr>
          <w:rFonts w:cstheme="minorHAnsi"/>
          <w:szCs w:val="24"/>
          <w:shd w:val="clear" w:color="auto" w:fill="FFFFFF"/>
        </w:rPr>
        <w:t>This is the first time that DCFS Office of Affirmative Action (OAA) has conducted an in-depth analysis of the numbers provided by POS agencie</w:t>
      </w:r>
      <w:r w:rsidR="009B61CB">
        <w:rPr>
          <w:rFonts w:cstheme="minorHAnsi"/>
          <w:szCs w:val="24"/>
          <w:shd w:val="clear" w:color="auto" w:fill="FFFFFF"/>
        </w:rPr>
        <w:t xml:space="preserve">s. </w:t>
      </w:r>
      <w:r w:rsidRPr="000F0378">
        <w:rPr>
          <w:rFonts w:cstheme="minorHAnsi"/>
          <w:szCs w:val="24"/>
          <w:shd w:val="clear" w:color="auto" w:fill="FFFFFF"/>
        </w:rPr>
        <w:t xml:space="preserve">This data represents a </w:t>
      </w:r>
      <w:r w:rsidR="009B61CB">
        <w:rPr>
          <w:rFonts w:cstheme="minorHAnsi"/>
          <w:szCs w:val="24"/>
          <w:shd w:val="clear" w:color="auto" w:fill="FFFFFF"/>
        </w:rPr>
        <w:t xml:space="preserve">baseline. </w:t>
      </w:r>
      <w:r w:rsidRPr="000F0378">
        <w:rPr>
          <w:rFonts w:cstheme="minorHAnsi"/>
          <w:szCs w:val="24"/>
          <w:shd w:val="clear" w:color="auto" w:fill="FFFFFF"/>
        </w:rPr>
        <w:t xml:space="preserve">OAA will need to ensure the accuracy of the numbers and collect the data at intervals through the year. DCFS reports workforce data once a quarter and analyzing the data from the POS agencies at minimum twice a year will identify trends and allow for corrections as needed. Utilizing the baseline, some trends in the POS workforce have emerged. </w:t>
      </w:r>
      <w:r w:rsidRPr="000F0378">
        <w:rPr>
          <w:rFonts w:cstheme="minorHAnsi"/>
          <w:szCs w:val="24"/>
        </w:rPr>
        <w:t xml:space="preserve">Because of the racial diversity in the general population in different regions, it is anticipated that different races may be represented at a higher or lower rate than others. It was not projected, however, that a large disparity between the races in the </w:t>
      </w:r>
      <w:r w:rsidRPr="009B61CB">
        <w:rPr>
          <w:rFonts w:cstheme="minorHAnsi"/>
          <w:szCs w:val="24"/>
        </w:rPr>
        <w:t xml:space="preserve">Official/Administrator, Professional, and the Paraprofessional / Administrative Support </w:t>
      </w:r>
      <w:r w:rsidRPr="000F0378">
        <w:rPr>
          <w:rFonts w:cstheme="minorHAnsi"/>
          <w:szCs w:val="24"/>
        </w:rPr>
        <w:t xml:space="preserve">categories in Region 7 would be as prevalent.  </w:t>
      </w:r>
    </w:p>
    <w:p w14:paraId="1137FE49" w14:textId="77777777" w:rsidR="009B61CB" w:rsidRDefault="009B61CB" w:rsidP="009B61CB">
      <w:pPr>
        <w:spacing w:after="0"/>
        <w:rPr>
          <w:rFonts w:cstheme="minorHAnsi"/>
          <w:szCs w:val="24"/>
        </w:rPr>
      </w:pPr>
    </w:p>
    <w:p w14:paraId="13423C09" w14:textId="36A91FDC" w:rsidR="000F0378" w:rsidRPr="009B61CB" w:rsidRDefault="000F0378" w:rsidP="009B61CB">
      <w:pPr>
        <w:pStyle w:val="ListParagraph"/>
        <w:numPr>
          <w:ilvl w:val="0"/>
          <w:numId w:val="50"/>
        </w:numPr>
        <w:spacing w:after="0"/>
        <w:rPr>
          <w:rFonts w:cstheme="minorHAnsi"/>
          <w:szCs w:val="24"/>
        </w:rPr>
      </w:pPr>
      <w:r w:rsidRPr="009B61CB">
        <w:rPr>
          <w:rFonts w:cstheme="minorHAnsi"/>
          <w:szCs w:val="24"/>
        </w:rPr>
        <w:t>In Region 1 the data indicated there needs to be more diversity and inclusivity in the Official /Administrators category.  In the Professional category for Region 1, the numbers indicate a more racially equitable distribution.  Although Latinos comprise 25.38% of the total workforce in Region 1, which may lead one to believe there is diversity in the workforce, most of the Latino workforce falls into the Paraprofessional and Administrative Support job categories—</w:t>
      </w:r>
      <w:r w:rsidRPr="009B61CB">
        <w:rPr>
          <w:rFonts w:cstheme="minorHAnsi"/>
          <w:b/>
          <w:szCs w:val="24"/>
        </w:rPr>
        <w:t>nearly 54% of all Latinos employed in Region 1 are Paraprofessional and Administrative Support</w:t>
      </w:r>
      <w:r w:rsidRPr="009B61CB">
        <w:rPr>
          <w:rFonts w:cstheme="minorHAnsi"/>
          <w:szCs w:val="24"/>
        </w:rPr>
        <w:t xml:space="preserve">.  </w:t>
      </w:r>
    </w:p>
    <w:p w14:paraId="6F05E52E" w14:textId="77777777" w:rsidR="000F0378" w:rsidRPr="009B61CB" w:rsidRDefault="000F0378" w:rsidP="009B61CB">
      <w:pPr>
        <w:pStyle w:val="ListParagraph"/>
        <w:numPr>
          <w:ilvl w:val="0"/>
          <w:numId w:val="50"/>
        </w:numPr>
        <w:spacing w:after="0"/>
        <w:rPr>
          <w:rFonts w:cstheme="minorHAnsi"/>
          <w:szCs w:val="24"/>
        </w:rPr>
      </w:pPr>
      <w:r w:rsidRPr="009B61CB">
        <w:rPr>
          <w:rFonts w:cstheme="minorHAnsi"/>
          <w:szCs w:val="24"/>
        </w:rPr>
        <w:t xml:space="preserve">In Region 2, diversity in Officials / Administrators and Professional categories needs to improve to create equity and inclusivity in the decision making for children and families. In the </w:t>
      </w:r>
      <w:r w:rsidRPr="009B61CB">
        <w:rPr>
          <w:rFonts w:cstheme="minorHAnsi"/>
          <w:i/>
          <w:szCs w:val="24"/>
        </w:rPr>
        <w:t>Paraprofessional / Administrative Support</w:t>
      </w:r>
      <w:r w:rsidRPr="009B61CB">
        <w:rPr>
          <w:rFonts w:cstheme="minorHAnsi"/>
          <w:szCs w:val="24"/>
        </w:rPr>
        <w:t xml:space="preserve"> categories the data regarding disparity is evident and this category also demonstrates a need for diversity (see Chart 1).</w:t>
      </w:r>
    </w:p>
    <w:p w14:paraId="50361397" w14:textId="77777777" w:rsidR="000F0378" w:rsidRPr="009B61CB" w:rsidRDefault="000F0378" w:rsidP="009B61CB">
      <w:pPr>
        <w:pStyle w:val="ListParagraph"/>
        <w:numPr>
          <w:ilvl w:val="0"/>
          <w:numId w:val="50"/>
        </w:numPr>
        <w:spacing w:after="0"/>
        <w:rPr>
          <w:rFonts w:cstheme="minorHAnsi"/>
          <w:b/>
          <w:i/>
          <w:szCs w:val="24"/>
        </w:rPr>
      </w:pPr>
      <w:r w:rsidRPr="009B61CB">
        <w:rPr>
          <w:rFonts w:cstheme="minorHAnsi"/>
          <w:szCs w:val="24"/>
        </w:rPr>
        <w:t xml:space="preserve">In Region 7, </w:t>
      </w:r>
      <w:r w:rsidRPr="009B61CB">
        <w:rPr>
          <w:rFonts w:cstheme="minorHAnsi"/>
          <w:b/>
          <w:i/>
          <w:szCs w:val="24"/>
        </w:rPr>
        <w:t>there are disproportionately more White employees in all job categories (79%).  In the Official/Administrator category 94% is White (see Chart 1).</w:t>
      </w:r>
    </w:p>
    <w:p w14:paraId="459A67B0" w14:textId="77777777" w:rsidR="000F0378" w:rsidRPr="000F0378" w:rsidRDefault="000F0378" w:rsidP="000F0378">
      <w:pPr>
        <w:rPr>
          <w:rFonts w:cstheme="minorHAnsi"/>
          <w:b/>
          <w:szCs w:val="24"/>
          <w:u w:val="single"/>
        </w:rPr>
      </w:pPr>
      <w:bookmarkStart w:id="41" w:name="_Hlk52232817"/>
    </w:p>
    <w:p w14:paraId="279CBE32" w14:textId="77777777" w:rsidR="00017161" w:rsidRDefault="00017161">
      <w:pPr>
        <w:rPr>
          <w:rFonts w:cstheme="minorHAnsi"/>
          <w:b/>
          <w:szCs w:val="24"/>
          <w:u w:val="single"/>
        </w:rPr>
      </w:pPr>
      <w:r>
        <w:rPr>
          <w:rFonts w:cstheme="minorHAnsi"/>
          <w:b/>
          <w:szCs w:val="24"/>
          <w:u w:val="single"/>
        </w:rPr>
        <w:br w:type="page"/>
      </w:r>
    </w:p>
    <w:p w14:paraId="4F88B0FD" w14:textId="20062A98" w:rsidR="000F0378" w:rsidRPr="000F0378" w:rsidRDefault="000F0378" w:rsidP="000F0378">
      <w:pPr>
        <w:rPr>
          <w:rFonts w:cstheme="minorHAnsi"/>
          <w:b/>
          <w:szCs w:val="24"/>
          <w:u w:val="single"/>
        </w:rPr>
      </w:pPr>
      <w:r w:rsidRPr="000F0378">
        <w:rPr>
          <w:rFonts w:cstheme="minorHAnsi"/>
          <w:b/>
          <w:szCs w:val="24"/>
          <w:u w:val="single"/>
        </w:rPr>
        <w:t>RECOMMENDATIONS</w:t>
      </w:r>
    </w:p>
    <w:p w14:paraId="49FAC2E2" w14:textId="77777777" w:rsidR="000F0378" w:rsidRPr="000F0378" w:rsidRDefault="000F0378" w:rsidP="000F0378">
      <w:pPr>
        <w:spacing w:after="0"/>
        <w:rPr>
          <w:rFonts w:cstheme="minorHAnsi"/>
          <w:szCs w:val="24"/>
        </w:rPr>
      </w:pPr>
      <w:r w:rsidRPr="000F0378">
        <w:rPr>
          <w:rFonts w:eastAsia="Times New Roman" w:cstheme="minorHAnsi"/>
          <w:i/>
          <w:szCs w:val="24"/>
        </w:rPr>
        <w:t>DCFS</w:t>
      </w:r>
    </w:p>
    <w:p w14:paraId="3413444D"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eastAsia="Times New Roman" w:cstheme="minorHAnsi"/>
          <w:szCs w:val="24"/>
        </w:rPr>
        <w:t xml:space="preserve">DCFS hiring of African-American, Latino and Asian staff in the </w:t>
      </w:r>
      <w:r w:rsidRPr="00017161">
        <w:rPr>
          <w:rFonts w:eastAsia="Times New Roman" w:cstheme="minorHAnsi"/>
          <w:szCs w:val="24"/>
        </w:rPr>
        <w:t>Officials/Administrators</w:t>
      </w:r>
      <w:r w:rsidRPr="000F0378">
        <w:rPr>
          <w:rFonts w:eastAsia="Times New Roman" w:cstheme="minorHAnsi"/>
          <w:szCs w:val="24"/>
        </w:rPr>
        <w:t xml:space="preserve"> in Region 7 needs to increase.</w:t>
      </w:r>
    </w:p>
    <w:p w14:paraId="622FFC89"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eastAsia="Times New Roman" w:cstheme="minorHAnsi"/>
          <w:szCs w:val="24"/>
        </w:rPr>
        <w:t>DCFS hiring of Latino staff across all job categories in Region 8 needs to increase.</w:t>
      </w:r>
    </w:p>
    <w:p w14:paraId="65F8074F" w14:textId="77777777" w:rsidR="000F0378" w:rsidRPr="000F0378" w:rsidRDefault="000F0378" w:rsidP="000F0378">
      <w:pPr>
        <w:pStyle w:val="ListParagraph"/>
        <w:numPr>
          <w:ilvl w:val="0"/>
          <w:numId w:val="48"/>
        </w:numPr>
        <w:spacing w:after="0"/>
        <w:contextualSpacing w:val="0"/>
        <w:rPr>
          <w:rFonts w:cstheme="minorHAnsi"/>
          <w:szCs w:val="24"/>
        </w:rPr>
      </w:pPr>
      <w:r w:rsidRPr="000F0378">
        <w:rPr>
          <w:rFonts w:cstheme="minorHAnsi"/>
          <w:szCs w:val="24"/>
        </w:rPr>
        <w:t>DCFS needs to conduct an annual review of its hiring processes to assess diversity hiring practices and identify any discrepancies that lead to racial inequities with a focus in Region 7 and 8.</w:t>
      </w:r>
    </w:p>
    <w:p w14:paraId="773D3EFB"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cstheme="minorHAnsi"/>
          <w:szCs w:val="24"/>
        </w:rPr>
        <w:t xml:space="preserve">DCFS </w:t>
      </w:r>
      <w:proofErr w:type="spellStart"/>
      <w:r w:rsidRPr="000F0378">
        <w:rPr>
          <w:rFonts w:cstheme="minorHAnsi"/>
          <w:szCs w:val="24"/>
        </w:rPr>
        <w:t>Rutan</w:t>
      </w:r>
      <w:proofErr w:type="spellEnd"/>
      <w:r w:rsidRPr="000F0378">
        <w:rPr>
          <w:rFonts w:cstheme="minorHAnsi"/>
          <w:szCs w:val="24"/>
        </w:rPr>
        <w:t xml:space="preserve"> interview panels should be diverse and reflective of the population being served.</w:t>
      </w:r>
    </w:p>
    <w:p w14:paraId="03A628DC"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cstheme="minorHAnsi"/>
          <w:szCs w:val="24"/>
        </w:rPr>
        <w:t>DCFS needs to recruit in minority communities to increase the diversity of applicants in Region 7 and 8.</w:t>
      </w:r>
    </w:p>
    <w:p w14:paraId="187A3533" w14:textId="77777777" w:rsidR="000F0378" w:rsidRPr="000F0378" w:rsidRDefault="000F0378" w:rsidP="000F0378">
      <w:pPr>
        <w:pStyle w:val="ListParagraph"/>
        <w:numPr>
          <w:ilvl w:val="0"/>
          <w:numId w:val="48"/>
        </w:numPr>
        <w:spacing w:after="0"/>
        <w:contextualSpacing w:val="0"/>
        <w:rPr>
          <w:rFonts w:cstheme="minorHAnsi"/>
          <w:szCs w:val="24"/>
        </w:rPr>
      </w:pPr>
      <w:r w:rsidRPr="000F0378">
        <w:rPr>
          <w:rFonts w:cstheme="minorHAnsi"/>
          <w:szCs w:val="24"/>
        </w:rPr>
        <w:t>Repeal (20 ILCS 405/405-413 new, Sec. 405-413. Geographic consolidation of State employment positions.  DCFS data shows that there is a significant disparity in Region 7 which includes Sangamon County.   The data shows a high percentage of Officials/Administrative positions held by Whites (86%) as compared to other parts of the state with the highest number of employees.  Also, the effectiveness of tele-work practices statewide during COVID-19 has shown that work can be successfully carried out regardless of the physical location of leadership.  Repealing the Geographic consolidation of State employment positions Act will allow for more diversity and inclusion in the candidate pool from other areas in the State.</w:t>
      </w:r>
    </w:p>
    <w:p w14:paraId="23579EA0" w14:textId="77777777" w:rsidR="000F0378" w:rsidRPr="000F0378" w:rsidRDefault="000F0378" w:rsidP="000F0378">
      <w:pPr>
        <w:spacing w:after="0"/>
        <w:rPr>
          <w:rFonts w:cstheme="minorHAnsi"/>
          <w:i/>
          <w:szCs w:val="24"/>
        </w:rPr>
      </w:pPr>
      <w:r w:rsidRPr="000F0378">
        <w:rPr>
          <w:rFonts w:cstheme="minorHAnsi"/>
          <w:i/>
          <w:szCs w:val="24"/>
        </w:rPr>
        <w:t>POS</w:t>
      </w:r>
    </w:p>
    <w:p w14:paraId="736D2355"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eastAsia="Times New Roman" w:cstheme="minorHAnsi"/>
          <w:szCs w:val="24"/>
        </w:rPr>
        <w:t xml:space="preserve">DCFS </w:t>
      </w:r>
      <w:r w:rsidRPr="000F0378">
        <w:rPr>
          <w:rFonts w:cstheme="minorHAnsi"/>
          <w:szCs w:val="24"/>
          <w:shd w:val="clear" w:color="auto" w:fill="FFFFFF"/>
        </w:rPr>
        <w:t>collect POS Title VI agency data twice a year.</w:t>
      </w:r>
    </w:p>
    <w:p w14:paraId="3CF17176"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eastAsia="Times New Roman" w:cstheme="minorHAnsi"/>
          <w:szCs w:val="24"/>
        </w:rPr>
        <w:t xml:space="preserve">The </w:t>
      </w:r>
      <w:r w:rsidRPr="000F0378">
        <w:rPr>
          <w:rFonts w:cstheme="minorHAnsi"/>
          <w:szCs w:val="24"/>
          <w:shd w:val="clear" w:color="auto" w:fill="FFFFFF"/>
        </w:rPr>
        <w:t>data needs to be collected electronically to improve the accuracy and efficiency of data collection.</w:t>
      </w:r>
    </w:p>
    <w:p w14:paraId="159A7FD4"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cstheme="minorHAnsi"/>
          <w:szCs w:val="24"/>
          <w:shd w:val="clear" w:color="auto" w:fill="FFFFFF"/>
        </w:rPr>
        <w:t>The data collection needs to be consistent across all POS agencies regarding definitions and how to categorize their job titles.</w:t>
      </w:r>
    </w:p>
    <w:p w14:paraId="6326B830" w14:textId="77777777" w:rsidR="000F0378" w:rsidRPr="000F0378" w:rsidRDefault="000F0378" w:rsidP="000F0378">
      <w:pPr>
        <w:pStyle w:val="ListParagraph"/>
        <w:numPr>
          <w:ilvl w:val="0"/>
          <w:numId w:val="48"/>
        </w:numPr>
        <w:spacing w:after="0"/>
        <w:contextualSpacing w:val="0"/>
        <w:rPr>
          <w:rFonts w:cstheme="minorHAnsi"/>
          <w:szCs w:val="24"/>
          <w:shd w:val="clear" w:color="auto" w:fill="FFFFFF"/>
        </w:rPr>
      </w:pPr>
      <w:r w:rsidRPr="000F0378">
        <w:rPr>
          <w:rFonts w:cstheme="minorHAnsi"/>
          <w:szCs w:val="24"/>
          <w:shd w:val="clear" w:color="auto" w:fill="FFFFFF"/>
        </w:rPr>
        <w:t xml:space="preserve">DCFS provide training to the POS agencies on how to complete the Title VI packets and gather data from their employees. </w:t>
      </w:r>
    </w:p>
    <w:p w14:paraId="5F74F0E9"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eastAsia="Times New Roman" w:cstheme="minorHAnsi"/>
          <w:szCs w:val="24"/>
        </w:rPr>
        <w:t>The completion of the POS Title VI agency data should be written into the direct service contract boilerplate along with other required reports with specified dates for submission.</w:t>
      </w:r>
    </w:p>
    <w:p w14:paraId="244B14EE" w14:textId="77777777" w:rsidR="000F0378" w:rsidRPr="000F0378" w:rsidRDefault="000F0378" w:rsidP="000F0378">
      <w:pPr>
        <w:pStyle w:val="ListParagraph"/>
        <w:numPr>
          <w:ilvl w:val="0"/>
          <w:numId w:val="48"/>
        </w:numPr>
        <w:spacing w:after="0"/>
        <w:contextualSpacing w:val="0"/>
        <w:rPr>
          <w:rFonts w:eastAsia="Times New Roman" w:cstheme="minorHAnsi"/>
          <w:szCs w:val="24"/>
        </w:rPr>
      </w:pPr>
      <w:r w:rsidRPr="000F0378">
        <w:rPr>
          <w:rFonts w:eastAsia="Times New Roman" w:cstheme="minorHAnsi"/>
          <w:szCs w:val="24"/>
        </w:rPr>
        <w:t xml:space="preserve">POS hiring of African-American, Latino and Asian staff in the </w:t>
      </w:r>
      <w:r w:rsidRPr="000F0378">
        <w:rPr>
          <w:rFonts w:eastAsia="Times New Roman" w:cstheme="minorHAnsi"/>
          <w:i/>
          <w:szCs w:val="24"/>
        </w:rPr>
        <w:t>Officials/Administrators</w:t>
      </w:r>
      <w:r w:rsidRPr="000F0378">
        <w:rPr>
          <w:rFonts w:eastAsia="Times New Roman" w:cstheme="minorHAnsi"/>
          <w:szCs w:val="24"/>
        </w:rPr>
        <w:t xml:space="preserve"> in Region 7 needs to increase.</w:t>
      </w:r>
    </w:p>
    <w:p w14:paraId="6F6EB2B8" w14:textId="77777777" w:rsidR="000F0378" w:rsidRPr="000F0378" w:rsidRDefault="000F0378" w:rsidP="000F0378">
      <w:pPr>
        <w:pStyle w:val="ListParagraph"/>
        <w:numPr>
          <w:ilvl w:val="0"/>
          <w:numId w:val="48"/>
        </w:numPr>
        <w:spacing w:after="0"/>
        <w:contextualSpacing w:val="0"/>
        <w:rPr>
          <w:rFonts w:cstheme="minorHAnsi"/>
          <w:szCs w:val="24"/>
        </w:rPr>
      </w:pPr>
      <w:r w:rsidRPr="000F0378">
        <w:rPr>
          <w:rFonts w:cstheme="minorHAnsi"/>
          <w:szCs w:val="24"/>
        </w:rPr>
        <w:t>POS agencies need to conduct an annual review of their hiring processes to assess diversity hiring practices and identify any discrepancies that lead to racial inequities.</w:t>
      </w:r>
    </w:p>
    <w:p w14:paraId="04CB28E5" w14:textId="77777777" w:rsidR="000F0378" w:rsidRPr="000F0378" w:rsidRDefault="000F0378" w:rsidP="000F0378">
      <w:pPr>
        <w:pStyle w:val="ListParagraph"/>
        <w:numPr>
          <w:ilvl w:val="0"/>
          <w:numId w:val="48"/>
        </w:numPr>
        <w:spacing w:after="0"/>
        <w:contextualSpacing w:val="0"/>
        <w:rPr>
          <w:rFonts w:cstheme="minorHAnsi"/>
          <w:szCs w:val="24"/>
        </w:rPr>
      </w:pPr>
      <w:r w:rsidRPr="000F0378">
        <w:rPr>
          <w:rFonts w:cstheme="minorHAnsi"/>
          <w:szCs w:val="24"/>
        </w:rPr>
        <w:t>POS agencies need to ensure that job descriptions are culturally competent and reflective of the populations being served.</w:t>
      </w:r>
    </w:p>
    <w:p w14:paraId="00EC89F9" w14:textId="77777777" w:rsidR="000F0378" w:rsidRPr="000F0378" w:rsidRDefault="000F0378" w:rsidP="000F0378">
      <w:pPr>
        <w:pStyle w:val="ListParagraph"/>
        <w:numPr>
          <w:ilvl w:val="0"/>
          <w:numId w:val="48"/>
        </w:numPr>
        <w:spacing w:after="0"/>
        <w:contextualSpacing w:val="0"/>
        <w:rPr>
          <w:rFonts w:cstheme="minorHAnsi"/>
          <w:szCs w:val="24"/>
        </w:rPr>
      </w:pPr>
      <w:r w:rsidRPr="000F0378">
        <w:rPr>
          <w:rFonts w:cstheme="minorHAnsi"/>
          <w:szCs w:val="24"/>
        </w:rPr>
        <w:t>POS agencies need to develop a Diversity, Equity and Inclusion plan to recruit more minority staff to increase the diversity of the applicant pool.</w:t>
      </w:r>
    </w:p>
    <w:bookmarkEnd w:id="41"/>
    <w:p w14:paraId="0D75D274" w14:textId="77777777" w:rsidR="000F0378" w:rsidRPr="000F0378" w:rsidRDefault="000F0378" w:rsidP="000F0378">
      <w:pPr>
        <w:spacing w:after="0"/>
        <w:rPr>
          <w:rFonts w:cstheme="minorHAnsi"/>
          <w:szCs w:val="24"/>
        </w:rPr>
      </w:pPr>
    </w:p>
    <w:p w14:paraId="7C175A12" w14:textId="77777777" w:rsidR="000F0378" w:rsidRPr="000F0378" w:rsidRDefault="000F0378" w:rsidP="000F0378">
      <w:pPr>
        <w:pStyle w:val="ListParagraph"/>
        <w:rPr>
          <w:rFonts w:cstheme="minorHAnsi"/>
          <w:u w:val="single"/>
          <w:shd w:val="clear" w:color="auto" w:fill="FFFFFF"/>
        </w:rPr>
      </w:pPr>
      <w:r w:rsidRPr="000F0378">
        <w:rPr>
          <w:rFonts w:cstheme="minorHAnsi"/>
        </w:rPr>
        <w:t xml:space="preserve">      </w:t>
      </w:r>
    </w:p>
    <w:p w14:paraId="26E75725" w14:textId="77777777" w:rsidR="000F0378" w:rsidRPr="000F0378" w:rsidRDefault="000F0378" w:rsidP="000F0378">
      <w:pPr>
        <w:jc w:val="center"/>
        <w:rPr>
          <w:rFonts w:cstheme="minorHAnsi"/>
        </w:rPr>
      </w:pPr>
    </w:p>
    <w:p w14:paraId="39EB837F" w14:textId="77777777" w:rsidR="000F0378" w:rsidRPr="000F0378" w:rsidRDefault="000F0378" w:rsidP="000F0378">
      <w:pPr>
        <w:jc w:val="center"/>
        <w:rPr>
          <w:rFonts w:cstheme="minorHAnsi"/>
          <w:b/>
          <w:sz w:val="28"/>
          <w:szCs w:val="28"/>
          <w:u w:val="single"/>
        </w:rPr>
      </w:pPr>
      <w:r w:rsidRPr="000F0378">
        <w:rPr>
          <w:rFonts w:cstheme="minorHAnsi"/>
          <w:b/>
          <w:sz w:val="28"/>
          <w:szCs w:val="28"/>
          <w:u w:val="single"/>
        </w:rPr>
        <w:t>APPENDICES</w:t>
      </w:r>
    </w:p>
    <w:p w14:paraId="53D552A4" w14:textId="77777777" w:rsidR="000F0378" w:rsidRPr="000F0378" w:rsidRDefault="000F0378" w:rsidP="000F0378">
      <w:pPr>
        <w:rPr>
          <w:rFonts w:cstheme="minorHAnsi"/>
          <w:b/>
          <w:szCs w:val="24"/>
          <w:shd w:val="clear" w:color="auto" w:fill="FFFFFF"/>
        </w:rPr>
      </w:pPr>
      <w:r w:rsidRPr="000F0378">
        <w:rPr>
          <w:rFonts w:cstheme="minorHAnsi"/>
          <w:b/>
          <w:szCs w:val="24"/>
          <w:shd w:val="clear" w:color="auto" w:fill="FFFFFF"/>
        </w:rPr>
        <w:t>CHART 1:  DCFS WORKFORCE DATA</w:t>
      </w:r>
    </w:p>
    <w:tbl>
      <w:tblPr>
        <w:tblStyle w:val="TableGrid"/>
        <w:tblW w:w="9904" w:type="dxa"/>
        <w:tblLayout w:type="fixed"/>
        <w:tblLook w:val="04A0" w:firstRow="1" w:lastRow="0" w:firstColumn="1" w:lastColumn="0" w:noHBand="0" w:noVBand="1"/>
      </w:tblPr>
      <w:tblGrid>
        <w:gridCol w:w="4996"/>
        <w:gridCol w:w="781"/>
        <w:gridCol w:w="825"/>
        <w:gridCol w:w="825"/>
        <w:gridCol w:w="826"/>
        <w:gridCol w:w="825"/>
        <w:gridCol w:w="826"/>
      </w:tblGrid>
      <w:tr w:rsidR="000F0378" w:rsidRPr="000F0378" w14:paraId="7F43AC92" w14:textId="77777777" w:rsidTr="00A96DA2">
        <w:trPr>
          <w:trHeight w:val="270"/>
        </w:trPr>
        <w:tc>
          <w:tcPr>
            <w:tcW w:w="4996" w:type="dxa"/>
            <w:shd w:val="clear" w:color="auto" w:fill="A0C3E3" w:themeFill="accent1" w:themeFillTint="99"/>
          </w:tcPr>
          <w:p w14:paraId="39D02F67" w14:textId="77777777" w:rsidR="000F0378" w:rsidRPr="000F0378" w:rsidRDefault="000F0378" w:rsidP="00A96DA2">
            <w:pPr>
              <w:rPr>
                <w:rFonts w:cstheme="minorHAnsi"/>
                <w:b/>
                <w:szCs w:val="24"/>
              </w:rPr>
            </w:pPr>
            <w:r w:rsidRPr="000F0378">
              <w:rPr>
                <w:rFonts w:cstheme="minorHAnsi"/>
                <w:b/>
                <w:szCs w:val="24"/>
              </w:rPr>
              <w:t>Job Categories</w:t>
            </w:r>
          </w:p>
        </w:tc>
        <w:tc>
          <w:tcPr>
            <w:tcW w:w="1606" w:type="dxa"/>
            <w:gridSpan w:val="2"/>
            <w:shd w:val="clear" w:color="auto" w:fill="A0C3E3" w:themeFill="accent1" w:themeFillTint="99"/>
          </w:tcPr>
          <w:p w14:paraId="02B74363" w14:textId="77777777" w:rsidR="000F0378" w:rsidRPr="000F0378" w:rsidRDefault="000F0378" w:rsidP="00A96DA2">
            <w:pPr>
              <w:rPr>
                <w:rFonts w:cstheme="minorHAnsi"/>
                <w:b/>
                <w:szCs w:val="24"/>
              </w:rPr>
            </w:pPr>
            <w:r w:rsidRPr="000F0378">
              <w:rPr>
                <w:rFonts w:cstheme="minorHAnsi"/>
                <w:b/>
                <w:szCs w:val="24"/>
              </w:rPr>
              <w:t>Region 1</w:t>
            </w:r>
          </w:p>
        </w:tc>
        <w:tc>
          <w:tcPr>
            <w:tcW w:w="1651" w:type="dxa"/>
            <w:gridSpan w:val="2"/>
            <w:shd w:val="clear" w:color="auto" w:fill="A0C3E3" w:themeFill="accent1" w:themeFillTint="99"/>
          </w:tcPr>
          <w:p w14:paraId="4BA0CC96" w14:textId="77777777" w:rsidR="000F0378" w:rsidRPr="000F0378" w:rsidRDefault="000F0378" w:rsidP="00A96DA2">
            <w:pPr>
              <w:rPr>
                <w:rFonts w:cstheme="minorHAnsi"/>
                <w:b/>
                <w:szCs w:val="24"/>
              </w:rPr>
            </w:pPr>
            <w:r w:rsidRPr="000F0378">
              <w:rPr>
                <w:rFonts w:cstheme="minorHAnsi"/>
                <w:b/>
                <w:szCs w:val="24"/>
              </w:rPr>
              <w:t>Region 7</w:t>
            </w:r>
          </w:p>
        </w:tc>
        <w:tc>
          <w:tcPr>
            <w:tcW w:w="1651" w:type="dxa"/>
            <w:gridSpan w:val="2"/>
            <w:shd w:val="clear" w:color="auto" w:fill="A0C3E3" w:themeFill="accent1" w:themeFillTint="99"/>
          </w:tcPr>
          <w:p w14:paraId="72D562FE" w14:textId="77777777" w:rsidR="000F0378" w:rsidRPr="000F0378" w:rsidRDefault="000F0378" w:rsidP="00A96DA2">
            <w:pPr>
              <w:rPr>
                <w:rFonts w:cstheme="minorHAnsi"/>
                <w:b/>
                <w:szCs w:val="24"/>
              </w:rPr>
            </w:pPr>
            <w:r w:rsidRPr="000F0378">
              <w:rPr>
                <w:rFonts w:cstheme="minorHAnsi"/>
                <w:b/>
                <w:szCs w:val="24"/>
              </w:rPr>
              <w:t>Region 8</w:t>
            </w:r>
          </w:p>
        </w:tc>
      </w:tr>
      <w:tr w:rsidR="000F0378" w:rsidRPr="000F0378" w14:paraId="0A277A92" w14:textId="77777777" w:rsidTr="00A96DA2">
        <w:trPr>
          <w:trHeight w:val="276"/>
        </w:trPr>
        <w:tc>
          <w:tcPr>
            <w:tcW w:w="4996" w:type="dxa"/>
          </w:tcPr>
          <w:p w14:paraId="62405872" w14:textId="77777777" w:rsidR="000F0378" w:rsidRPr="000F0378" w:rsidRDefault="000F0378" w:rsidP="00A96DA2">
            <w:pPr>
              <w:rPr>
                <w:rFonts w:cstheme="minorHAnsi"/>
                <w:b/>
                <w:szCs w:val="24"/>
              </w:rPr>
            </w:pPr>
            <w:r w:rsidRPr="000F0378">
              <w:rPr>
                <w:rFonts w:cstheme="minorHAnsi"/>
                <w:b/>
                <w:szCs w:val="24"/>
              </w:rPr>
              <w:t xml:space="preserve">All Job Categories </w:t>
            </w:r>
          </w:p>
        </w:tc>
        <w:tc>
          <w:tcPr>
            <w:tcW w:w="781" w:type="dxa"/>
          </w:tcPr>
          <w:p w14:paraId="598DED8C"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34DEEF6C"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6793DAB9"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2E3AD8E7"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229FECC3"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6C4ABC52" w14:textId="77777777" w:rsidR="000F0378" w:rsidRPr="000F0378" w:rsidRDefault="000F0378" w:rsidP="00A96DA2">
            <w:pPr>
              <w:rPr>
                <w:rFonts w:cstheme="minorHAnsi"/>
                <w:szCs w:val="24"/>
              </w:rPr>
            </w:pPr>
            <w:r w:rsidRPr="000F0378">
              <w:rPr>
                <w:rFonts w:cstheme="minorHAnsi"/>
                <w:szCs w:val="24"/>
              </w:rPr>
              <w:t>%</w:t>
            </w:r>
          </w:p>
        </w:tc>
      </w:tr>
      <w:tr w:rsidR="000F0378" w:rsidRPr="000F0378" w14:paraId="0351F5FB" w14:textId="77777777" w:rsidTr="00A96DA2">
        <w:trPr>
          <w:trHeight w:val="270"/>
        </w:trPr>
        <w:tc>
          <w:tcPr>
            <w:tcW w:w="4996" w:type="dxa"/>
            <w:shd w:val="clear" w:color="auto" w:fill="DFEBF5" w:themeFill="accent1" w:themeFillTint="33"/>
          </w:tcPr>
          <w:p w14:paraId="2795F25B" w14:textId="77777777" w:rsidR="000F0378" w:rsidRPr="000F0378" w:rsidRDefault="000F0378" w:rsidP="00A96DA2">
            <w:pPr>
              <w:rPr>
                <w:rFonts w:cstheme="minorHAnsi"/>
                <w:b/>
                <w:szCs w:val="24"/>
              </w:rPr>
            </w:pPr>
            <w:r w:rsidRPr="000F0378">
              <w:rPr>
                <w:rFonts w:cstheme="minorHAnsi"/>
                <w:b/>
                <w:szCs w:val="24"/>
              </w:rPr>
              <w:t xml:space="preserve">     Black</w:t>
            </w:r>
          </w:p>
        </w:tc>
        <w:tc>
          <w:tcPr>
            <w:tcW w:w="781" w:type="dxa"/>
            <w:shd w:val="clear" w:color="auto" w:fill="DFEBF5" w:themeFill="accent1" w:themeFillTint="33"/>
          </w:tcPr>
          <w:p w14:paraId="3E7F5331" w14:textId="77777777" w:rsidR="000F0378" w:rsidRPr="000F0378" w:rsidRDefault="000F0378" w:rsidP="00A96DA2">
            <w:pPr>
              <w:rPr>
                <w:rFonts w:cstheme="minorHAnsi"/>
                <w:szCs w:val="24"/>
              </w:rPr>
            </w:pPr>
            <w:r w:rsidRPr="000F0378">
              <w:rPr>
                <w:rFonts w:cstheme="minorHAnsi"/>
                <w:szCs w:val="24"/>
              </w:rPr>
              <w:t>811</w:t>
            </w:r>
          </w:p>
        </w:tc>
        <w:tc>
          <w:tcPr>
            <w:tcW w:w="825" w:type="dxa"/>
            <w:shd w:val="clear" w:color="auto" w:fill="DFEBF5" w:themeFill="accent1" w:themeFillTint="33"/>
          </w:tcPr>
          <w:p w14:paraId="35A7593D" w14:textId="77777777" w:rsidR="000F0378" w:rsidRPr="000F0378" w:rsidRDefault="000F0378" w:rsidP="00A96DA2">
            <w:pPr>
              <w:rPr>
                <w:rFonts w:cstheme="minorHAnsi"/>
                <w:szCs w:val="24"/>
              </w:rPr>
            </w:pPr>
            <w:r w:rsidRPr="000F0378">
              <w:rPr>
                <w:rFonts w:cstheme="minorHAnsi"/>
                <w:szCs w:val="24"/>
              </w:rPr>
              <w:t>61.43</w:t>
            </w:r>
          </w:p>
        </w:tc>
        <w:tc>
          <w:tcPr>
            <w:tcW w:w="825" w:type="dxa"/>
            <w:shd w:val="clear" w:color="auto" w:fill="DFEBF5" w:themeFill="accent1" w:themeFillTint="33"/>
          </w:tcPr>
          <w:p w14:paraId="70175C36" w14:textId="77777777" w:rsidR="000F0378" w:rsidRPr="000F0378" w:rsidRDefault="000F0378" w:rsidP="00A96DA2">
            <w:pPr>
              <w:rPr>
                <w:rFonts w:cstheme="minorHAnsi"/>
                <w:szCs w:val="24"/>
              </w:rPr>
            </w:pPr>
            <w:r w:rsidRPr="000F0378">
              <w:rPr>
                <w:rFonts w:cstheme="minorHAnsi"/>
                <w:szCs w:val="24"/>
              </w:rPr>
              <w:t>99</w:t>
            </w:r>
          </w:p>
        </w:tc>
        <w:tc>
          <w:tcPr>
            <w:tcW w:w="825" w:type="dxa"/>
            <w:shd w:val="clear" w:color="auto" w:fill="DFEBF5" w:themeFill="accent1" w:themeFillTint="33"/>
          </w:tcPr>
          <w:p w14:paraId="4B3988C4" w14:textId="77777777" w:rsidR="000F0378" w:rsidRPr="000F0378" w:rsidRDefault="000F0378" w:rsidP="00A96DA2">
            <w:pPr>
              <w:rPr>
                <w:rFonts w:cstheme="minorHAnsi"/>
                <w:szCs w:val="24"/>
              </w:rPr>
            </w:pPr>
            <w:r w:rsidRPr="000F0378">
              <w:rPr>
                <w:rFonts w:cstheme="minorHAnsi"/>
                <w:szCs w:val="24"/>
              </w:rPr>
              <w:t>15.73</w:t>
            </w:r>
          </w:p>
        </w:tc>
        <w:tc>
          <w:tcPr>
            <w:tcW w:w="825" w:type="dxa"/>
            <w:shd w:val="clear" w:color="auto" w:fill="DFEBF5" w:themeFill="accent1" w:themeFillTint="33"/>
          </w:tcPr>
          <w:p w14:paraId="7940987F" w14:textId="77777777" w:rsidR="000F0378" w:rsidRPr="000F0378" w:rsidRDefault="000F0378" w:rsidP="00A96DA2">
            <w:pPr>
              <w:rPr>
                <w:rFonts w:cstheme="minorHAnsi"/>
                <w:szCs w:val="24"/>
              </w:rPr>
            </w:pPr>
            <w:r w:rsidRPr="000F0378">
              <w:rPr>
                <w:rFonts w:cstheme="minorHAnsi"/>
                <w:szCs w:val="24"/>
              </w:rPr>
              <w:t>87</w:t>
            </w:r>
          </w:p>
        </w:tc>
        <w:tc>
          <w:tcPr>
            <w:tcW w:w="825" w:type="dxa"/>
            <w:shd w:val="clear" w:color="auto" w:fill="DFEBF5" w:themeFill="accent1" w:themeFillTint="33"/>
          </w:tcPr>
          <w:p w14:paraId="3E274369" w14:textId="77777777" w:rsidR="000F0378" w:rsidRPr="000F0378" w:rsidRDefault="000F0378" w:rsidP="00A96DA2">
            <w:pPr>
              <w:rPr>
                <w:rFonts w:cstheme="minorHAnsi"/>
                <w:szCs w:val="24"/>
              </w:rPr>
            </w:pPr>
            <w:r w:rsidRPr="000F0378">
              <w:rPr>
                <w:rFonts w:cstheme="minorHAnsi"/>
                <w:szCs w:val="24"/>
              </w:rPr>
              <w:t>45.78</w:t>
            </w:r>
          </w:p>
        </w:tc>
      </w:tr>
      <w:tr w:rsidR="000F0378" w:rsidRPr="000F0378" w14:paraId="4A4F62ED" w14:textId="77777777" w:rsidTr="00A96DA2">
        <w:trPr>
          <w:trHeight w:val="270"/>
        </w:trPr>
        <w:tc>
          <w:tcPr>
            <w:tcW w:w="4996" w:type="dxa"/>
          </w:tcPr>
          <w:p w14:paraId="7A5641B2" w14:textId="77777777" w:rsidR="000F0378" w:rsidRPr="000F0378" w:rsidRDefault="000F0378" w:rsidP="00A96DA2">
            <w:pPr>
              <w:rPr>
                <w:rFonts w:cstheme="minorHAnsi"/>
                <w:b/>
                <w:szCs w:val="24"/>
              </w:rPr>
            </w:pPr>
            <w:r w:rsidRPr="000F0378">
              <w:rPr>
                <w:rFonts w:cstheme="minorHAnsi"/>
                <w:b/>
                <w:szCs w:val="24"/>
              </w:rPr>
              <w:t xml:space="preserve">     Latino</w:t>
            </w:r>
          </w:p>
        </w:tc>
        <w:tc>
          <w:tcPr>
            <w:tcW w:w="781" w:type="dxa"/>
          </w:tcPr>
          <w:p w14:paraId="5A234D9D" w14:textId="77777777" w:rsidR="000F0378" w:rsidRPr="000F0378" w:rsidRDefault="000F0378" w:rsidP="00A96DA2">
            <w:pPr>
              <w:rPr>
                <w:rFonts w:cstheme="minorHAnsi"/>
                <w:szCs w:val="24"/>
              </w:rPr>
            </w:pPr>
            <w:r w:rsidRPr="000F0378">
              <w:rPr>
                <w:rFonts w:cstheme="minorHAnsi"/>
                <w:szCs w:val="24"/>
              </w:rPr>
              <w:t>249</w:t>
            </w:r>
          </w:p>
        </w:tc>
        <w:tc>
          <w:tcPr>
            <w:tcW w:w="825" w:type="dxa"/>
          </w:tcPr>
          <w:p w14:paraId="17656BDC" w14:textId="77777777" w:rsidR="000F0378" w:rsidRPr="000F0378" w:rsidRDefault="000F0378" w:rsidP="00A96DA2">
            <w:pPr>
              <w:rPr>
                <w:rFonts w:cstheme="minorHAnsi"/>
                <w:szCs w:val="24"/>
              </w:rPr>
            </w:pPr>
            <w:r w:rsidRPr="000F0378">
              <w:rPr>
                <w:rFonts w:cstheme="minorHAnsi"/>
                <w:szCs w:val="24"/>
              </w:rPr>
              <w:t>18.86</w:t>
            </w:r>
          </w:p>
        </w:tc>
        <w:tc>
          <w:tcPr>
            <w:tcW w:w="825" w:type="dxa"/>
          </w:tcPr>
          <w:p w14:paraId="28E79903" w14:textId="77777777" w:rsidR="000F0378" w:rsidRPr="000F0378" w:rsidRDefault="000F0378" w:rsidP="00A96DA2">
            <w:pPr>
              <w:rPr>
                <w:rFonts w:cstheme="minorHAnsi"/>
                <w:szCs w:val="24"/>
              </w:rPr>
            </w:pPr>
            <w:r w:rsidRPr="000F0378">
              <w:rPr>
                <w:rFonts w:cstheme="minorHAnsi"/>
                <w:szCs w:val="24"/>
              </w:rPr>
              <w:t>15</w:t>
            </w:r>
          </w:p>
        </w:tc>
        <w:tc>
          <w:tcPr>
            <w:tcW w:w="825" w:type="dxa"/>
          </w:tcPr>
          <w:p w14:paraId="57E5C382" w14:textId="77777777" w:rsidR="000F0378" w:rsidRPr="000F0378" w:rsidRDefault="000F0378" w:rsidP="00A96DA2">
            <w:pPr>
              <w:rPr>
                <w:rFonts w:cstheme="minorHAnsi"/>
                <w:szCs w:val="24"/>
              </w:rPr>
            </w:pPr>
            <w:r w:rsidRPr="000F0378">
              <w:rPr>
                <w:rFonts w:cstheme="minorHAnsi"/>
                <w:szCs w:val="24"/>
              </w:rPr>
              <w:t>2.38</w:t>
            </w:r>
          </w:p>
        </w:tc>
        <w:tc>
          <w:tcPr>
            <w:tcW w:w="825" w:type="dxa"/>
          </w:tcPr>
          <w:p w14:paraId="248A2DA4" w14:textId="77777777" w:rsidR="000F0378" w:rsidRPr="000F0378" w:rsidRDefault="000F0378" w:rsidP="00A96DA2">
            <w:pPr>
              <w:rPr>
                <w:rFonts w:cstheme="minorHAnsi"/>
                <w:szCs w:val="24"/>
              </w:rPr>
            </w:pPr>
            <w:r w:rsidRPr="000F0378">
              <w:rPr>
                <w:rFonts w:cstheme="minorHAnsi"/>
                <w:szCs w:val="24"/>
              </w:rPr>
              <w:t>0</w:t>
            </w:r>
          </w:p>
        </w:tc>
        <w:tc>
          <w:tcPr>
            <w:tcW w:w="825" w:type="dxa"/>
          </w:tcPr>
          <w:p w14:paraId="6405B721" w14:textId="77777777" w:rsidR="000F0378" w:rsidRPr="000F0378" w:rsidRDefault="000F0378" w:rsidP="00A96DA2">
            <w:pPr>
              <w:rPr>
                <w:rFonts w:cstheme="minorHAnsi"/>
                <w:szCs w:val="24"/>
              </w:rPr>
            </w:pPr>
            <w:r w:rsidRPr="000F0378">
              <w:rPr>
                <w:rFonts w:cstheme="minorHAnsi"/>
                <w:szCs w:val="24"/>
              </w:rPr>
              <w:t>0</w:t>
            </w:r>
          </w:p>
        </w:tc>
      </w:tr>
      <w:tr w:rsidR="000F0378" w:rsidRPr="000F0378" w14:paraId="0971CDF1" w14:textId="77777777" w:rsidTr="00A96DA2">
        <w:trPr>
          <w:trHeight w:val="276"/>
        </w:trPr>
        <w:tc>
          <w:tcPr>
            <w:tcW w:w="4996" w:type="dxa"/>
            <w:shd w:val="clear" w:color="auto" w:fill="EBE8EC" w:themeFill="accent6" w:themeFillTint="33"/>
          </w:tcPr>
          <w:p w14:paraId="6292F430" w14:textId="77777777" w:rsidR="000F0378" w:rsidRPr="000F0378" w:rsidRDefault="000F0378" w:rsidP="00A96DA2">
            <w:pPr>
              <w:rPr>
                <w:rFonts w:cstheme="minorHAnsi"/>
                <w:b/>
                <w:szCs w:val="24"/>
              </w:rPr>
            </w:pPr>
            <w:r w:rsidRPr="000F0378">
              <w:rPr>
                <w:rFonts w:cstheme="minorHAnsi"/>
                <w:b/>
                <w:szCs w:val="24"/>
              </w:rPr>
              <w:t xml:space="preserve">     White</w:t>
            </w:r>
          </w:p>
        </w:tc>
        <w:tc>
          <w:tcPr>
            <w:tcW w:w="781" w:type="dxa"/>
            <w:shd w:val="clear" w:color="auto" w:fill="EBE8EC" w:themeFill="accent6" w:themeFillTint="33"/>
          </w:tcPr>
          <w:p w14:paraId="3AAECA54" w14:textId="77777777" w:rsidR="000F0378" w:rsidRPr="000F0378" w:rsidRDefault="000F0378" w:rsidP="00A96DA2">
            <w:pPr>
              <w:rPr>
                <w:rFonts w:cstheme="minorHAnsi"/>
                <w:szCs w:val="24"/>
              </w:rPr>
            </w:pPr>
            <w:r w:rsidRPr="000F0378">
              <w:rPr>
                <w:rFonts w:cstheme="minorHAnsi"/>
                <w:szCs w:val="24"/>
              </w:rPr>
              <w:t>260</w:t>
            </w:r>
          </w:p>
        </w:tc>
        <w:tc>
          <w:tcPr>
            <w:tcW w:w="825" w:type="dxa"/>
            <w:shd w:val="clear" w:color="auto" w:fill="EBE8EC" w:themeFill="accent6" w:themeFillTint="33"/>
          </w:tcPr>
          <w:p w14:paraId="5E94B9C7" w14:textId="77777777" w:rsidR="000F0378" w:rsidRPr="000F0378" w:rsidRDefault="000F0378" w:rsidP="00A96DA2">
            <w:pPr>
              <w:rPr>
                <w:rFonts w:cstheme="minorHAnsi"/>
                <w:szCs w:val="24"/>
              </w:rPr>
            </w:pPr>
            <w:r w:rsidRPr="000F0378">
              <w:rPr>
                <w:rFonts w:cstheme="minorHAnsi"/>
                <w:szCs w:val="24"/>
              </w:rPr>
              <w:t>19.69</w:t>
            </w:r>
          </w:p>
        </w:tc>
        <w:tc>
          <w:tcPr>
            <w:tcW w:w="825" w:type="dxa"/>
            <w:shd w:val="clear" w:color="auto" w:fill="EBE8EC" w:themeFill="accent6" w:themeFillTint="33"/>
          </w:tcPr>
          <w:p w14:paraId="0AA7E927" w14:textId="77777777" w:rsidR="000F0378" w:rsidRPr="000F0378" w:rsidRDefault="000F0378" w:rsidP="00A96DA2">
            <w:pPr>
              <w:rPr>
                <w:rFonts w:cstheme="minorHAnsi"/>
                <w:szCs w:val="24"/>
              </w:rPr>
            </w:pPr>
            <w:r w:rsidRPr="000F0378">
              <w:rPr>
                <w:rFonts w:cstheme="minorHAnsi"/>
                <w:szCs w:val="24"/>
              </w:rPr>
              <w:t>515</w:t>
            </w:r>
          </w:p>
        </w:tc>
        <w:tc>
          <w:tcPr>
            <w:tcW w:w="825" w:type="dxa"/>
            <w:shd w:val="clear" w:color="auto" w:fill="EBE8EC" w:themeFill="accent6" w:themeFillTint="33"/>
          </w:tcPr>
          <w:p w14:paraId="66A8392F" w14:textId="77777777" w:rsidR="000F0378" w:rsidRPr="000F0378" w:rsidRDefault="000F0378" w:rsidP="00A96DA2">
            <w:pPr>
              <w:rPr>
                <w:rFonts w:cstheme="minorHAnsi"/>
                <w:szCs w:val="24"/>
              </w:rPr>
            </w:pPr>
            <w:r w:rsidRPr="000F0378">
              <w:rPr>
                <w:rFonts w:cstheme="minorHAnsi"/>
                <w:szCs w:val="24"/>
              </w:rPr>
              <w:t>81.87</w:t>
            </w:r>
          </w:p>
        </w:tc>
        <w:tc>
          <w:tcPr>
            <w:tcW w:w="825" w:type="dxa"/>
            <w:shd w:val="clear" w:color="auto" w:fill="EBE8EC" w:themeFill="accent6" w:themeFillTint="33"/>
          </w:tcPr>
          <w:p w14:paraId="5EA6ACDE" w14:textId="77777777" w:rsidR="000F0378" w:rsidRPr="000F0378" w:rsidRDefault="000F0378" w:rsidP="00A96DA2">
            <w:pPr>
              <w:rPr>
                <w:rFonts w:cstheme="minorHAnsi"/>
                <w:szCs w:val="24"/>
              </w:rPr>
            </w:pPr>
            <w:r w:rsidRPr="000F0378">
              <w:rPr>
                <w:rFonts w:cstheme="minorHAnsi"/>
                <w:szCs w:val="24"/>
              </w:rPr>
              <w:t>103</w:t>
            </w:r>
          </w:p>
        </w:tc>
        <w:tc>
          <w:tcPr>
            <w:tcW w:w="825" w:type="dxa"/>
            <w:shd w:val="clear" w:color="auto" w:fill="EBE8EC" w:themeFill="accent6" w:themeFillTint="33"/>
          </w:tcPr>
          <w:p w14:paraId="3B42B6F6" w14:textId="77777777" w:rsidR="000F0378" w:rsidRPr="000F0378" w:rsidRDefault="000F0378" w:rsidP="00A96DA2">
            <w:pPr>
              <w:rPr>
                <w:rFonts w:cstheme="minorHAnsi"/>
                <w:szCs w:val="24"/>
              </w:rPr>
            </w:pPr>
            <w:r w:rsidRPr="000F0378">
              <w:rPr>
                <w:rFonts w:cstheme="minorHAnsi"/>
                <w:szCs w:val="24"/>
              </w:rPr>
              <w:t>54.21</w:t>
            </w:r>
          </w:p>
        </w:tc>
      </w:tr>
      <w:tr w:rsidR="000F0378" w:rsidRPr="000F0378" w14:paraId="39C08071" w14:textId="77777777" w:rsidTr="00A96DA2">
        <w:trPr>
          <w:trHeight w:val="270"/>
        </w:trPr>
        <w:tc>
          <w:tcPr>
            <w:tcW w:w="4996" w:type="dxa"/>
          </w:tcPr>
          <w:p w14:paraId="6DF65078" w14:textId="77777777" w:rsidR="000F0378" w:rsidRPr="000F0378" w:rsidRDefault="000F0378" w:rsidP="00A96DA2">
            <w:pPr>
              <w:rPr>
                <w:rFonts w:cstheme="minorHAnsi"/>
                <w:b/>
                <w:szCs w:val="24"/>
              </w:rPr>
            </w:pPr>
            <w:r w:rsidRPr="000F0378">
              <w:rPr>
                <w:rFonts w:cstheme="minorHAnsi"/>
                <w:b/>
                <w:szCs w:val="24"/>
              </w:rPr>
              <w:t xml:space="preserve">Total </w:t>
            </w:r>
          </w:p>
        </w:tc>
        <w:tc>
          <w:tcPr>
            <w:tcW w:w="781" w:type="dxa"/>
          </w:tcPr>
          <w:p w14:paraId="1D79F518" w14:textId="77777777" w:rsidR="000F0378" w:rsidRPr="000F0378" w:rsidRDefault="000F0378" w:rsidP="00A96DA2">
            <w:pPr>
              <w:rPr>
                <w:rFonts w:cstheme="minorHAnsi"/>
                <w:b/>
                <w:szCs w:val="24"/>
              </w:rPr>
            </w:pPr>
            <w:r w:rsidRPr="000F0378">
              <w:rPr>
                <w:rFonts w:cstheme="minorHAnsi"/>
                <w:b/>
                <w:szCs w:val="24"/>
              </w:rPr>
              <w:t>1320</w:t>
            </w:r>
          </w:p>
        </w:tc>
        <w:tc>
          <w:tcPr>
            <w:tcW w:w="825" w:type="dxa"/>
          </w:tcPr>
          <w:p w14:paraId="6ABC69F7" w14:textId="77777777" w:rsidR="000F0378" w:rsidRPr="000F0378" w:rsidRDefault="000F0378" w:rsidP="00A96DA2">
            <w:pPr>
              <w:rPr>
                <w:rFonts w:cstheme="minorHAnsi"/>
                <w:b/>
                <w:szCs w:val="24"/>
              </w:rPr>
            </w:pPr>
            <w:r w:rsidRPr="000F0378">
              <w:rPr>
                <w:rFonts w:cstheme="minorHAnsi"/>
                <w:b/>
                <w:szCs w:val="24"/>
              </w:rPr>
              <w:t>100</w:t>
            </w:r>
          </w:p>
        </w:tc>
        <w:tc>
          <w:tcPr>
            <w:tcW w:w="825" w:type="dxa"/>
          </w:tcPr>
          <w:p w14:paraId="593A172C" w14:textId="77777777" w:rsidR="000F0378" w:rsidRPr="000F0378" w:rsidRDefault="000F0378" w:rsidP="00A96DA2">
            <w:pPr>
              <w:rPr>
                <w:rFonts w:cstheme="minorHAnsi"/>
                <w:b/>
                <w:szCs w:val="24"/>
              </w:rPr>
            </w:pPr>
            <w:r w:rsidRPr="000F0378">
              <w:rPr>
                <w:rFonts w:cstheme="minorHAnsi"/>
                <w:b/>
                <w:szCs w:val="24"/>
              </w:rPr>
              <w:t>629</w:t>
            </w:r>
          </w:p>
        </w:tc>
        <w:tc>
          <w:tcPr>
            <w:tcW w:w="825" w:type="dxa"/>
          </w:tcPr>
          <w:p w14:paraId="2497E926" w14:textId="77777777" w:rsidR="000F0378" w:rsidRPr="000F0378" w:rsidRDefault="000F0378" w:rsidP="00A96DA2">
            <w:pPr>
              <w:rPr>
                <w:rFonts w:cstheme="minorHAnsi"/>
                <w:b/>
                <w:szCs w:val="24"/>
              </w:rPr>
            </w:pPr>
            <w:r w:rsidRPr="000F0378">
              <w:rPr>
                <w:rFonts w:cstheme="minorHAnsi"/>
                <w:b/>
                <w:szCs w:val="24"/>
              </w:rPr>
              <w:t>100</w:t>
            </w:r>
          </w:p>
        </w:tc>
        <w:tc>
          <w:tcPr>
            <w:tcW w:w="825" w:type="dxa"/>
          </w:tcPr>
          <w:p w14:paraId="72D81B70" w14:textId="77777777" w:rsidR="000F0378" w:rsidRPr="000F0378" w:rsidRDefault="000F0378" w:rsidP="00A96DA2">
            <w:pPr>
              <w:rPr>
                <w:rFonts w:cstheme="minorHAnsi"/>
                <w:b/>
                <w:szCs w:val="24"/>
              </w:rPr>
            </w:pPr>
            <w:r w:rsidRPr="000F0378">
              <w:rPr>
                <w:rFonts w:cstheme="minorHAnsi"/>
                <w:b/>
                <w:szCs w:val="24"/>
              </w:rPr>
              <w:t>190</w:t>
            </w:r>
          </w:p>
        </w:tc>
        <w:tc>
          <w:tcPr>
            <w:tcW w:w="825" w:type="dxa"/>
          </w:tcPr>
          <w:p w14:paraId="67A18036" w14:textId="77777777" w:rsidR="000F0378" w:rsidRPr="000F0378" w:rsidRDefault="000F0378" w:rsidP="00A96DA2">
            <w:pPr>
              <w:rPr>
                <w:rFonts w:cstheme="minorHAnsi"/>
                <w:b/>
                <w:szCs w:val="24"/>
              </w:rPr>
            </w:pPr>
            <w:r w:rsidRPr="000F0378">
              <w:rPr>
                <w:rFonts w:cstheme="minorHAnsi"/>
                <w:b/>
                <w:szCs w:val="24"/>
              </w:rPr>
              <w:t>100</w:t>
            </w:r>
          </w:p>
        </w:tc>
      </w:tr>
      <w:tr w:rsidR="000F0378" w:rsidRPr="000F0378" w14:paraId="450D5E93" w14:textId="77777777" w:rsidTr="00A96DA2">
        <w:trPr>
          <w:trHeight w:val="270"/>
        </w:trPr>
        <w:tc>
          <w:tcPr>
            <w:tcW w:w="4996" w:type="dxa"/>
          </w:tcPr>
          <w:p w14:paraId="290C4D50" w14:textId="77777777" w:rsidR="000F0378" w:rsidRPr="000F0378" w:rsidRDefault="000F0378" w:rsidP="00A96DA2">
            <w:pPr>
              <w:rPr>
                <w:rFonts w:cstheme="minorHAnsi"/>
                <w:b/>
                <w:szCs w:val="24"/>
              </w:rPr>
            </w:pPr>
            <w:r w:rsidRPr="000F0378">
              <w:rPr>
                <w:rFonts w:cstheme="minorHAnsi"/>
                <w:b/>
                <w:szCs w:val="24"/>
              </w:rPr>
              <w:t>Officials/Administrators</w:t>
            </w:r>
          </w:p>
        </w:tc>
        <w:tc>
          <w:tcPr>
            <w:tcW w:w="781" w:type="dxa"/>
          </w:tcPr>
          <w:p w14:paraId="57FEBCDE"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62A08370"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42DF4404"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0A412F9D"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01CC4B91"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157BAFA1" w14:textId="77777777" w:rsidR="000F0378" w:rsidRPr="000F0378" w:rsidRDefault="000F0378" w:rsidP="00A96DA2">
            <w:pPr>
              <w:rPr>
                <w:rFonts w:cstheme="minorHAnsi"/>
                <w:szCs w:val="24"/>
              </w:rPr>
            </w:pPr>
            <w:r w:rsidRPr="000F0378">
              <w:rPr>
                <w:rFonts w:cstheme="minorHAnsi"/>
                <w:szCs w:val="24"/>
              </w:rPr>
              <w:t>%</w:t>
            </w:r>
          </w:p>
        </w:tc>
      </w:tr>
      <w:tr w:rsidR="000F0378" w:rsidRPr="000F0378" w14:paraId="28A62DB1" w14:textId="77777777" w:rsidTr="00A96DA2">
        <w:trPr>
          <w:trHeight w:val="276"/>
        </w:trPr>
        <w:tc>
          <w:tcPr>
            <w:tcW w:w="4996" w:type="dxa"/>
            <w:shd w:val="clear" w:color="auto" w:fill="DFEBF5" w:themeFill="accent1" w:themeFillTint="33"/>
          </w:tcPr>
          <w:p w14:paraId="2CF208E4" w14:textId="77777777" w:rsidR="000F0378" w:rsidRPr="000F0378" w:rsidRDefault="000F0378" w:rsidP="00A96DA2">
            <w:pPr>
              <w:rPr>
                <w:rFonts w:cstheme="minorHAnsi"/>
                <w:b/>
                <w:szCs w:val="24"/>
              </w:rPr>
            </w:pPr>
            <w:r w:rsidRPr="000F0378">
              <w:rPr>
                <w:rFonts w:cstheme="minorHAnsi"/>
                <w:b/>
                <w:szCs w:val="24"/>
              </w:rPr>
              <w:t xml:space="preserve">     Black</w:t>
            </w:r>
          </w:p>
        </w:tc>
        <w:tc>
          <w:tcPr>
            <w:tcW w:w="781" w:type="dxa"/>
            <w:shd w:val="clear" w:color="auto" w:fill="DFEBF5" w:themeFill="accent1" w:themeFillTint="33"/>
          </w:tcPr>
          <w:p w14:paraId="5C4BE459" w14:textId="77777777" w:rsidR="000F0378" w:rsidRPr="000F0378" w:rsidRDefault="000F0378" w:rsidP="00A96DA2">
            <w:pPr>
              <w:rPr>
                <w:rFonts w:cstheme="minorHAnsi"/>
                <w:szCs w:val="24"/>
              </w:rPr>
            </w:pPr>
            <w:r w:rsidRPr="000F0378">
              <w:rPr>
                <w:rFonts w:cstheme="minorHAnsi"/>
                <w:szCs w:val="24"/>
              </w:rPr>
              <w:t>143</w:t>
            </w:r>
          </w:p>
        </w:tc>
        <w:tc>
          <w:tcPr>
            <w:tcW w:w="825" w:type="dxa"/>
            <w:shd w:val="clear" w:color="auto" w:fill="DFEBF5" w:themeFill="accent1" w:themeFillTint="33"/>
          </w:tcPr>
          <w:p w14:paraId="66841C25" w14:textId="77777777" w:rsidR="000F0378" w:rsidRPr="000F0378" w:rsidRDefault="000F0378" w:rsidP="00A96DA2">
            <w:pPr>
              <w:rPr>
                <w:rFonts w:cstheme="minorHAnsi"/>
                <w:szCs w:val="24"/>
              </w:rPr>
            </w:pPr>
            <w:r w:rsidRPr="000F0378">
              <w:rPr>
                <w:rFonts w:cstheme="minorHAnsi"/>
                <w:szCs w:val="24"/>
              </w:rPr>
              <w:t>60.33</w:t>
            </w:r>
          </w:p>
        </w:tc>
        <w:tc>
          <w:tcPr>
            <w:tcW w:w="825" w:type="dxa"/>
            <w:shd w:val="clear" w:color="auto" w:fill="DFEBF5" w:themeFill="accent1" w:themeFillTint="33"/>
          </w:tcPr>
          <w:p w14:paraId="7538B445" w14:textId="77777777" w:rsidR="000F0378" w:rsidRPr="000F0378" w:rsidRDefault="000F0378" w:rsidP="00A96DA2">
            <w:pPr>
              <w:rPr>
                <w:rFonts w:cstheme="minorHAnsi"/>
                <w:szCs w:val="24"/>
              </w:rPr>
            </w:pPr>
            <w:r w:rsidRPr="000F0378">
              <w:rPr>
                <w:rFonts w:cstheme="minorHAnsi"/>
                <w:szCs w:val="24"/>
              </w:rPr>
              <w:t>12</w:t>
            </w:r>
          </w:p>
        </w:tc>
        <w:tc>
          <w:tcPr>
            <w:tcW w:w="825" w:type="dxa"/>
            <w:shd w:val="clear" w:color="auto" w:fill="DFEBF5" w:themeFill="accent1" w:themeFillTint="33"/>
          </w:tcPr>
          <w:p w14:paraId="1B68AC6F" w14:textId="77777777" w:rsidR="000F0378" w:rsidRPr="000F0378" w:rsidRDefault="000F0378" w:rsidP="00A96DA2">
            <w:pPr>
              <w:rPr>
                <w:rFonts w:cstheme="minorHAnsi"/>
                <w:szCs w:val="24"/>
              </w:rPr>
            </w:pPr>
            <w:r w:rsidRPr="000F0378">
              <w:rPr>
                <w:rFonts w:cstheme="minorHAnsi"/>
                <w:szCs w:val="24"/>
              </w:rPr>
              <w:t>11.42</w:t>
            </w:r>
          </w:p>
        </w:tc>
        <w:tc>
          <w:tcPr>
            <w:tcW w:w="825" w:type="dxa"/>
            <w:shd w:val="clear" w:color="auto" w:fill="DFEBF5" w:themeFill="accent1" w:themeFillTint="33"/>
          </w:tcPr>
          <w:p w14:paraId="19ABF16C" w14:textId="77777777" w:rsidR="000F0378" w:rsidRPr="000F0378" w:rsidRDefault="000F0378" w:rsidP="00A96DA2">
            <w:pPr>
              <w:rPr>
                <w:rFonts w:cstheme="minorHAnsi"/>
                <w:szCs w:val="24"/>
              </w:rPr>
            </w:pPr>
            <w:r w:rsidRPr="000F0378">
              <w:rPr>
                <w:rFonts w:cstheme="minorHAnsi"/>
                <w:szCs w:val="24"/>
              </w:rPr>
              <w:t>14</w:t>
            </w:r>
          </w:p>
        </w:tc>
        <w:tc>
          <w:tcPr>
            <w:tcW w:w="825" w:type="dxa"/>
            <w:shd w:val="clear" w:color="auto" w:fill="DFEBF5" w:themeFill="accent1" w:themeFillTint="33"/>
          </w:tcPr>
          <w:p w14:paraId="74598091" w14:textId="77777777" w:rsidR="000F0378" w:rsidRPr="000F0378" w:rsidRDefault="000F0378" w:rsidP="00A96DA2">
            <w:pPr>
              <w:rPr>
                <w:rFonts w:cstheme="minorHAnsi"/>
                <w:szCs w:val="24"/>
              </w:rPr>
            </w:pPr>
            <w:r w:rsidRPr="000F0378">
              <w:rPr>
                <w:rFonts w:cstheme="minorHAnsi"/>
                <w:szCs w:val="24"/>
              </w:rPr>
              <w:t>46.66</w:t>
            </w:r>
          </w:p>
        </w:tc>
      </w:tr>
      <w:tr w:rsidR="000F0378" w:rsidRPr="000F0378" w14:paraId="09520BAD" w14:textId="77777777" w:rsidTr="00A96DA2">
        <w:trPr>
          <w:trHeight w:val="209"/>
        </w:trPr>
        <w:tc>
          <w:tcPr>
            <w:tcW w:w="4996" w:type="dxa"/>
          </w:tcPr>
          <w:p w14:paraId="0A33B240" w14:textId="77777777" w:rsidR="000F0378" w:rsidRPr="000F0378" w:rsidRDefault="000F0378" w:rsidP="00A96DA2">
            <w:pPr>
              <w:rPr>
                <w:rFonts w:cstheme="minorHAnsi"/>
                <w:b/>
                <w:szCs w:val="24"/>
              </w:rPr>
            </w:pPr>
            <w:r w:rsidRPr="000F0378">
              <w:rPr>
                <w:rFonts w:cstheme="minorHAnsi"/>
                <w:b/>
                <w:szCs w:val="24"/>
              </w:rPr>
              <w:t xml:space="preserve">     Latino</w:t>
            </w:r>
          </w:p>
        </w:tc>
        <w:tc>
          <w:tcPr>
            <w:tcW w:w="781" w:type="dxa"/>
          </w:tcPr>
          <w:p w14:paraId="7C49F7A5" w14:textId="77777777" w:rsidR="000F0378" w:rsidRPr="000F0378" w:rsidRDefault="000F0378" w:rsidP="00A96DA2">
            <w:pPr>
              <w:rPr>
                <w:rFonts w:cstheme="minorHAnsi"/>
                <w:szCs w:val="24"/>
              </w:rPr>
            </w:pPr>
            <w:r w:rsidRPr="000F0378">
              <w:rPr>
                <w:rFonts w:cstheme="minorHAnsi"/>
                <w:szCs w:val="24"/>
              </w:rPr>
              <w:t>33</w:t>
            </w:r>
          </w:p>
        </w:tc>
        <w:tc>
          <w:tcPr>
            <w:tcW w:w="825" w:type="dxa"/>
          </w:tcPr>
          <w:p w14:paraId="3CAE7033" w14:textId="77777777" w:rsidR="000F0378" w:rsidRPr="000F0378" w:rsidRDefault="000F0378" w:rsidP="00A96DA2">
            <w:pPr>
              <w:rPr>
                <w:rFonts w:cstheme="minorHAnsi"/>
                <w:szCs w:val="24"/>
              </w:rPr>
            </w:pPr>
            <w:r w:rsidRPr="000F0378">
              <w:rPr>
                <w:rFonts w:cstheme="minorHAnsi"/>
                <w:szCs w:val="24"/>
              </w:rPr>
              <w:t>13.92</w:t>
            </w:r>
          </w:p>
        </w:tc>
        <w:tc>
          <w:tcPr>
            <w:tcW w:w="825" w:type="dxa"/>
          </w:tcPr>
          <w:p w14:paraId="0B1326BA" w14:textId="77777777" w:rsidR="000F0378" w:rsidRPr="000F0378" w:rsidRDefault="000F0378" w:rsidP="00A96DA2">
            <w:pPr>
              <w:rPr>
                <w:rFonts w:cstheme="minorHAnsi"/>
                <w:szCs w:val="24"/>
              </w:rPr>
            </w:pPr>
            <w:r w:rsidRPr="000F0378">
              <w:rPr>
                <w:rFonts w:cstheme="minorHAnsi"/>
                <w:szCs w:val="24"/>
              </w:rPr>
              <w:t>2</w:t>
            </w:r>
          </w:p>
        </w:tc>
        <w:tc>
          <w:tcPr>
            <w:tcW w:w="825" w:type="dxa"/>
          </w:tcPr>
          <w:p w14:paraId="78C16B02" w14:textId="77777777" w:rsidR="000F0378" w:rsidRPr="000F0378" w:rsidRDefault="000F0378" w:rsidP="00A96DA2">
            <w:pPr>
              <w:rPr>
                <w:rFonts w:cstheme="minorHAnsi"/>
                <w:szCs w:val="24"/>
              </w:rPr>
            </w:pPr>
            <w:r w:rsidRPr="000F0378">
              <w:rPr>
                <w:rFonts w:cstheme="minorHAnsi"/>
                <w:szCs w:val="24"/>
              </w:rPr>
              <w:t>1.9</w:t>
            </w:r>
          </w:p>
        </w:tc>
        <w:tc>
          <w:tcPr>
            <w:tcW w:w="825" w:type="dxa"/>
          </w:tcPr>
          <w:p w14:paraId="2F3329D5" w14:textId="77777777" w:rsidR="000F0378" w:rsidRPr="000F0378" w:rsidRDefault="000F0378" w:rsidP="00A96DA2">
            <w:pPr>
              <w:rPr>
                <w:rFonts w:cstheme="minorHAnsi"/>
                <w:szCs w:val="24"/>
              </w:rPr>
            </w:pPr>
            <w:r w:rsidRPr="000F0378">
              <w:rPr>
                <w:rFonts w:cstheme="minorHAnsi"/>
                <w:szCs w:val="24"/>
              </w:rPr>
              <w:t>0</w:t>
            </w:r>
          </w:p>
        </w:tc>
        <w:tc>
          <w:tcPr>
            <w:tcW w:w="825" w:type="dxa"/>
          </w:tcPr>
          <w:p w14:paraId="58D89ED4" w14:textId="77777777" w:rsidR="000F0378" w:rsidRPr="000F0378" w:rsidRDefault="000F0378" w:rsidP="00A96DA2">
            <w:pPr>
              <w:rPr>
                <w:rFonts w:cstheme="minorHAnsi"/>
                <w:szCs w:val="24"/>
              </w:rPr>
            </w:pPr>
            <w:r w:rsidRPr="000F0378">
              <w:rPr>
                <w:rFonts w:cstheme="minorHAnsi"/>
                <w:szCs w:val="24"/>
              </w:rPr>
              <w:t>0</w:t>
            </w:r>
          </w:p>
        </w:tc>
      </w:tr>
      <w:tr w:rsidR="000F0378" w:rsidRPr="000F0378" w14:paraId="5CE149C2" w14:textId="77777777" w:rsidTr="00A96DA2">
        <w:trPr>
          <w:trHeight w:val="270"/>
        </w:trPr>
        <w:tc>
          <w:tcPr>
            <w:tcW w:w="4996" w:type="dxa"/>
            <w:shd w:val="clear" w:color="auto" w:fill="EBE8EC" w:themeFill="accent6" w:themeFillTint="33"/>
          </w:tcPr>
          <w:p w14:paraId="2B96AB77" w14:textId="77777777" w:rsidR="000F0378" w:rsidRPr="000F0378" w:rsidRDefault="000F0378" w:rsidP="00A96DA2">
            <w:pPr>
              <w:rPr>
                <w:rFonts w:cstheme="minorHAnsi"/>
                <w:b/>
                <w:szCs w:val="24"/>
              </w:rPr>
            </w:pPr>
            <w:r w:rsidRPr="000F0378">
              <w:rPr>
                <w:rFonts w:cstheme="minorHAnsi"/>
                <w:b/>
                <w:szCs w:val="24"/>
              </w:rPr>
              <w:t xml:space="preserve">     White</w:t>
            </w:r>
          </w:p>
        </w:tc>
        <w:tc>
          <w:tcPr>
            <w:tcW w:w="781" w:type="dxa"/>
            <w:shd w:val="clear" w:color="auto" w:fill="EBE8EC" w:themeFill="accent6" w:themeFillTint="33"/>
          </w:tcPr>
          <w:p w14:paraId="4E3CAFDF" w14:textId="77777777" w:rsidR="000F0378" w:rsidRPr="000F0378" w:rsidRDefault="000F0378" w:rsidP="00A96DA2">
            <w:pPr>
              <w:rPr>
                <w:rFonts w:cstheme="minorHAnsi"/>
                <w:szCs w:val="24"/>
              </w:rPr>
            </w:pPr>
            <w:r w:rsidRPr="000F0378">
              <w:rPr>
                <w:rFonts w:cstheme="minorHAnsi"/>
                <w:szCs w:val="24"/>
              </w:rPr>
              <w:t>61</w:t>
            </w:r>
          </w:p>
        </w:tc>
        <w:tc>
          <w:tcPr>
            <w:tcW w:w="825" w:type="dxa"/>
            <w:shd w:val="clear" w:color="auto" w:fill="EBE8EC" w:themeFill="accent6" w:themeFillTint="33"/>
          </w:tcPr>
          <w:p w14:paraId="0933EE55" w14:textId="77777777" w:rsidR="000F0378" w:rsidRPr="000F0378" w:rsidRDefault="000F0378" w:rsidP="00A96DA2">
            <w:pPr>
              <w:rPr>
                <w:rFonts w:cstheme="minorHAnsi"/>
                <w:szCs w:val="24"/>
              </w:rPr>
            </w:pPr>
            <w:r w:rsidRPr="000F0378">
              <w:rPr>
                <w:rFonts w:cstheme="minorHAnsi"/>
                <w:szCs w:val="24"/>
              </w:rPr>
              <w:t>25.73</w:t>
            </w:r>
          </w:p>
        </w:tc>
        <w:tc>
          <w:tcPr>
            <w:tcW w:w="825" w:type="dxa"/>
            <w:shd w:val="clear" w:color="auto" w:fill="EBE8EC" w:themeFill="accent6" w:themeFillTint="33"/>
          </w:tcPr>
          <w:p w14:paraId="284AF112" w14:textId="77777777" w:rsidR="000F0378" w:rsidRPr="000F0378" w:rsidRDefault="000F0378" w:rsidP="00A96DA2">
            <w:pPr>
              <w:rPr>
                <w:rFonts w:cstheme="minorHAnsi"/>
                <w:szCs w:val="24"/>
              </w:rPr>
            </w:pPr>
            <w:r w:rsidRPr="000F0378">
              <w:rPr>
                <w:rFonts w:cstheme="minorHAnsi"/>
                <w:szCs w:val="24"/>
              </w:rPr>
              <w:t>91</w:t>
            </w:r>
          </w:p>
        </w:tc>
        <w:tc>
          <w:tcPr>
            <w:tcW w:w="825" w:type="dxa"/>
            <w:shd w:val="clear" w:color="auto" w:fill="EBE8EC" w:themeFill="accent6" w:themeFillTint="33"/>
          </w:tcPr>
          <w:p w14:paraId="5E0F103C" w14:textId="77777777" w:rsidR="000F0378" w:rsidRPr="000F0378" w:rsidRDefault="000F0378" w:rsidP="00A96DA2">
            <w:pPr>
              <w:rPr>
                <w:rFonts w:cstheme="minorHAnsi"/>
                <w:szCs w:val="24"/>
              </w:rPr>
            </w:pPr>
            <w:r w:rsidRPr="000F0378">
              <w:rPr>
                <w:rFonts w:cstheme="minorHAnsi"/>
                <w:szCs w:val="24"/>
              </w:rPr>
              <w:t>86.66</w:t>
            </w:r>
          </w:p>
        </w:tc>
        <w:tc>
          <w:tcPr>
            <w:tcW w:w="825" w:type="dxa"/>
            <w:shd w:val="clear" w:color="auto" w:fill="EBE8EC" w:themeFill="accent6" w:themeFillTint="33"/>
          </w:tcPr>
          <w:p w14:paraId="02EEBFB1" w14:textId="77777777" w:rsidR="000F0378" w:rsidRPr="000F0378" w:rsidRDefault="000F0378" w:rsidP="00A96DA2">
            <w:pPr>
              <w:rPr>
                <w:rFonts w:cstheme="minorHAnsi"/>
                <w:szCs w:val="24"/>
              </w:rPr>
            </w:pPr>
            <w:r w:rsidRPr="000F0378">
              <w:rPr>
                <w:rFonts w:cstheme="minorHAnsi"/>
                <w:szCs w:val="24"/>
              </w:rPr>
              <w:t>16</w:t>
            </w:r>
          </w:p>
        </w:tc>
        <w:tc>
          <w:tcPr>
            <w:tcW w:w="825" w:type="dxa"/>
            <w:shd w:val="clear" w:color="auto" w:fill="EBE8EC" w:themeFill="accent6" w:themeFillTint="33"/>
          </w:tcPr>
          <w:p w14:paraId="1C3CA060" w14:textId="77777777" w:rsidR="000F0378" w:rsidRPr="000F0378" w:rsidRDefault="000F0378" w:rsidP="00A96DA2">
            <w:pPr>
              <w:rPr>
                <w:rFonts w:cstheme="minorHAnsi"/>
                <w:szCs w:val="24"/>
              </w:rPr>
            </w:pPr>
            <w:r w:rsidRPr="000F0378">
              <w:rPr>
                <w:rFonts w:cstheme="minorHAnsi"/>
                <w:szCs w:val="24"/>
              </w:rPr>
              <w:t>53.33</w:t>
            </w:r>
          </w:p>
        </w:tc>
      </w:tr>
      <w:tr w:rsidR="000F0378" w:rsidRPr="000F0378" w14:paraId="5FDE6ECB" w14:textId="77777777" w:rsidTr="00A96DA2">
        <w:trPr>
          <w:trHeight w:val="296"/>
        </w:trPr>
        <w:tc>
          <w:tcPr>
            <w:tcW w:w="4996" w:type="dxa"/>
          </w:tcPr>
          <w:p w14:paraId="49D781E0" w14:textId="77777777" w:rsidR="000F0378" w:rsidRPr="000F0378" w:rsidRDefault="000F0378" w:rsidP="00A96DA2">
            <w:pPr>
              <w:rPr>
                <w:rFonts w:cstheme="minorHAnsi"/>
                <w:b/>
                <w:szCs w:val="24"/>
              </w:rPr>
            </w:pPr>
            <w:r w:rsidRPr="000F0378">
              <w:rPr>
                <w:rFonts w:cstheme="minorHAnsi"/>
                <w:b/>
                <w:szCs w:val="24"/>
              </w:rPr>
              <w:t xml:space="preserve">Total </w:t>
            </w:r>
          </w:p>
        </w:tc>
        <w:tc>
          <w:tcPr>
            <w:tcW w:w="781" w:type="dxa"/>
          </w:tcPr>
          <w:p w14:paraId="6B9E4584" w14:textId="77777777" w:rsidR="000F0378" w:rsidRPr="000F0378" w:rsidRDefault="000F0378" w:rsidP="00A96DA2">
            <w:pPr>
              <w:rPr>
                <w:rFonts w:cstheme="minorHAnsi"/>
                <w:b/>
                <w:szCs w:val="24"/>
              </w:rPr>
            </w:pPr>
            <w:r w:rsidRPr="000F0378">
              <w:rPr>
                <w:rFonts w:cstheme="minorHAnsi"/>
                <w:b/>
                <w:szCs w:val="24"/>
              </w:rPr>
              <w:t>237</w:t>
            </w:r>
          </w:p>
        </w:tc>
        <w:tc>
          <w:tcPr>
            <w:tcW w:w="825" w:type="dxa"/>
          </w:tcPr>
          <w:p w14:paraId="31DDBC4F" w14:textId="77777777" w:rsidR="000F0378" w:rsidRPr="000F0378" w:rsidRDefault="000F0378" w:rsidP="00A96DA2">
            <w:pPr>
              <w:rPr>
                <w:rFonts w:cstheme="minorHAnsi"/>
                <w:b/>
                <w:szCs w:val="24"/>
              </w:rPr>
            </w:pPr>
            <w:r w:rsidRPr="000F0378">
              <w:rPr>
                <w:rFonts w:cstheme="minorHAnsi"/>
                <w:b/>
                <w:szCs w:val="24"/>
              </w:rPr>
              <w:t>17.95</w:t>
            </w:r>
          </w:p>
        </w:tc>
        <w:tc>
          <w:tcPr>
            <w:tcW w:w="825" w:type="dxa"/>
          </w:tcPr>
          <w:p w14:paraId="228DF725" w14:textId="77777777" w:rsidR="000F0378" w:rsidRPr="000F0378" w:rsidRDefault="000F0378" w:rsidP="00A96DA2">
            <w:pPr>
              <w:rPr>
                <w:rFonts w:cstheme="minorHAnsi"/>
                <w:b/>
                <w:szCs w:val="24"/>
              </w:rPr>
            </w:pPr>
            <w:r w:rsidRPr="000F0378">
              <w:rPr>
                <w:rFonts w:cstheme="minorHAnsi"/>
                <w:b/>
                <w:szCs w:val="24"/>
              </w:rPr>
              <w:t>105</w:t>
            </w:r>
          </w:p>
        </w:tc>
        <w:tc>
          <w:tcPr>
            <w:tcW w:w="825" w:type="dxa"/>
          </w:tcPr>
          <w:p w14:paraId="3B4F151E" w14:textId="77777777" w:rsidR="000F0378" w:rsidRPr="000F0378" w:rsidRDefault="000F0378" w:rsidP="00A96DA2">
            <w:pPr>
              <w:rPr>
                <w:rFonts w:cstheme="minorHAnsi"/>
                <w:b/>
                <w:szCs w:val="24"/>
              </w:rPr>
            </w:pPr>
            <w:r w:rsidRPr="000F0378">
              <w:rPr>
                <w:rFonts w:cstheme="minorHAnsi"/>
                <w:b/>
                <w:szCs w:val="24"/>
              </w:rPr>
              <w:t>16.69</w:t>
            </w:r>
          </w:p>
        </w:tc>
        <w:tc>
          <w:tcPr>
            <w:tcW w:w="825" w:type="dxa"/>
          </w:tcPr>
          <w:p w14:paraId="63E9EF19" w14:textId="77777777" w:rsidR="000F0378" w:rsidRPr="000F0378" w:rsidRDefault="000F0378" w:rsidP="00A96DA2">
            <w:pPr>
              <w:rPr>
                <w:rFonts w:cstheme="minorHAnsi"/>
                <w:b/>
                <w:szCs w:val="24"/>
              </w:rPr>
            </w:pPr>
            <w:r w:rsidRPr="000F0378">
              <w:rPr>
                <w:rFonts w:cstheme="minorHAnsi"/>
                <w:b/>
                <w:szCs w:val="24"/>
              </w:rPr>
              <w:t>30</w:t>
            </w:r>
          </w:p>
        </w:tc>
        <w:tc>
          <w:tcPr>
            <w:tcW w:w="825" w:type="dxa"/>
          </w:tcPr>
          <w:p w14:paraId="20866BB3" w14:textId="77777777" w:rsidR="000F0378" w:rsidRPr="000F0378" w:rsidRDefault="000F0378" w:rsidP="00A96DA2">
            <w:pPr>
              <w:rPr>
                <w:rFonts w:cstheme="minorHAnsi"/>
                <w:b/>
                <w:szCs w:val="24"/>
              </w:rPr>
            </w:pPr>
            <w:r w:rsidRPr="000F0378">
              <w:rPr>
                <w:rFonts w:cstheme="minorHAnsi"/>
                <w:b/>
                <w:szCs w:val="24"/>
              </w:rPr>
              <w:t>15.78</w:t>
            </w:r>
          </w:p>
        </w:tc>
      </w:tr>
      <w:tr w:rsidR="000F0378" w:rsidRPr="000F0378" w14:paraId="636CDBC2" w14:textId="77777777" w:rsidTr="00A96DA2">
        <w:trPr>
          <w:trHeight w:val="270"/>
        </w:trPr>
        <w:tc>
          <w:tcPr>
            <w:tcW w:w="4996" w:type="dxa"/>
          </w:tcPr>
          <w:p w14:paraId="734D477F" w14:textId="77777777" w:rsidR="000F0378" w:rsidRPr="000F0378" w:rsidRDefault="000F0378" w:rsidP="00A96DA2">
            <w:pPr>
              <w:rPr>
                <w:rFonts w:cstheme="minorHAnsi"/>
                <w:b/>
                <w:szCs w:val="24"/>
              </w:rPr>
            </w:pPr>
            <w:r w:rsidRPr="000F0378">
              <w:rPr>
                <w:rFonts w:cstheme="minorHAnsi"/>
                <w:b/>
                <w:szCs w:val="24"/>
              </w:rPr>
              <w:t>Professionals</w:t>
            </w:r>
          </w:p>
        </w:tc>
        <w:tc>
          <w:tcPr>
            <w:tcW w:w="781" w:type="dxa"/>
          </w:tcPr>
          <w:p w14:paraId="76BCC699"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431BD856"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1E4745B8"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2F4A5B97"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52A88F17"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27863A07" w14:textId="77777777" w:rsidR="000F0378" w:rsidRPr="000F0378" w:rsidRDefault="000F0378" w:rsidP="00A96DA2">
            <w:pPr>
              <w:rPr>
                <w:rFonts w:cstheme="minorHAnsi"/>
                <w:szCs w:val="24"/>
              </w:rPr>
            </w:pPr>
            <w:r w:rsidRPr="000F0378">
              <w:rPr>
                <w:rFonts w:cstheme="minorHAnsi"/>
                <w:szCs w:val="24"/>
              </w:rPr>
              <w:t>%</w:t>
            </w:r>
          </w:p>
        </w:tc>
      </w:tr>
      <w:tr w:rsidR="000F0378" w:rsidRPr="000F0378" w14:paraId="4498C349" w14:textId="77777777" w:rsidTr="00A96DA2">
        <w:trPr>
          <w:trHeight w:val="276"/>
        </w:trPr>
        <w:tc>
          <w:tcPr>
            <w:tcW w:w="4996" w:type="dxa"/>
            <w:shd w:val="clear" w:color="auto" w:fill="DFEBF5" w:themeFill="accent1" w:themeFillTint="33"/>
          </w:tcPr>
          <w:p w14:paraId="62378AAD" w14:textId="77777777" w:rsidR="000F0378" w:rsidRPr="000F0378" w:rsidRDefault="000F0378" w:rsidP="00A96DA2">
            <w:pPr>
              <w:rPr>
                <w:rFonts w:cstheme="minorHAnsi"/>
                <w:b/>
                <w:szCs w:val="24"/>
              </w:rPr>
            </w:pPr>
            <w:r w:rsidRPr="000F0378">
              <w:rPr>
                <w:rFonts w:cstheme="minorHAnsi"/>
                <w:b/>
                <w:szCs w:val="24"/>
              </w:rPr>
              <w:t xml:space="preserve">     Black</w:t>
            </w:r>
          </w:p>
        </w:tc>
        <w:tc>
          <w:tcPr>
            <w:tcW w:w="781" w:type="dxa"/>
            <w:shd w:val="clear" w:color="auto" w:fill="DFEBF5" w:themeFill="accent1" w:themeFillTint="33"/>
          </w:tcPr>
          <w:p w14:paraId="07CFE997" w14:textId="77777777" w:rsidR="000F0378" w:rsidRPr="000F0378" w:rsidRDefault="000F0378" w:rsidP="00A96DA2">
            <w:pPr>
              <w:rPr>
                <w:rFonts w:cstheme="minorHAnsi"/>
                <w:szCs w:val="24"/>
              </w:rPr>
            </w:pPr>
            <w:r w:rsidRPr="000F0378">
              <w:rPr>
                <w:rFonts w:cstheme="minorHAnsi"/>
                <w:szCs w:val="24"/>
              </w:rPr>
              <w:t>556</w:t>
            </w:r>
          </w:p>
        </w:tc>
        <w:tc>
          <w:tcPr>
            <w:tcW w:w="825" w:type="dxa"/>
            <w:shd w:val="clear" w:color="auto" w:fill="DFEBF5" w:themeFill="accent1" w:themeFillTint="33"/>
          </w:tcPr>
          <w:p w14:paraId="4E40F80F" w14:textId="77777777" w:rsidR="000F0378" w:rsidRPr="000F0378" w:rsidRDefault="000F0378" w:rsidP="00A96DA2">
            <w:pPr>
              <w:rPr>
                <w:rFonts w:cstheme="minorHAnsi"/>
                <w:szCs w:val="24"/>
              </w:rPr>
            </w:pPr>
            <w:r w:rsidRPr="000F0378">
              <w:rPr>
                <w:rFonts w:cstheme="minorHAnsi"/>
                <w:szCs w:val="24"/>
              </w:rPr>
              <w:t>63.98</w:t>
            </w:r>
          </w:p>
        </w:tc>
        <w:tc>
          <w:tcPr>
            <w:tcW w:w="825" w:type="dxa"/>
            <w:shd w:val="clear" w:color="auto" w:fill="DFEBF5" w:themeFill="accent1" w:themeFillTint="33"/>
          </w:tcPr>
          <w:p w14:paraId="2D7925C0" w14:textId="77777777" w:rsidR="000F0378" w:rsidRPr="000F0378" w:rsidRDefault="000F0378" w:rsidP="00A96DA2">
            <w:pPr>
              <w:rPr>
                <w:rFonts w:cstheme="minorHAnsi"/>
                <w:szCs w:val="24"/>
              </w:rPr>
            </w:pPr>
            <w:r w:rsidRPr="000F0378">
              <w:rPr>
                <w:rFonts w:cstheme="minorHAnsi"/>
                <w:szCs w:val="24"/>
              </w:rPr>
              <w:t>69</w:t>
            </w:r>
          </w:p>
        </w:tc>
        <w:tc>
          <w:tcPr>
            <w:tcW w:w="825" w:type="dxa"/>
            <w:shd w:val="clear" w:color="auto" w:fill="DFEBF5" w:themeFill="accent1" w:themeFillTint="33"/>
          </w:tcPr>
          <w:p w14:paraId="1BAA0979" w14:textId="77777777" w:rsidR="000F0378" w:rsidRPr="000F0378" w:rsidRDefault="000F0378" w:rsidP="00A96DA2">
            <w:pPr>
              <w:rPr>
                <w:rFonts w:cstheme="minorHAnsi"/>
                <w:szCs w:val="24"/>
              </w:rPr>
            </w:pPr>
            <w:r w:rsidRPr="000F0378">
              <w:rPr>
                <w:rFonts w:cstheme="minorHAnsi"/>
                <w:szCs w:val="24"/>
              </w:rPr>
              <w:t>17.42</w:t>
            </w:r>
          </w:p>
        </w:tc>
        <w:tc>
          <w:tcPr>
            <w:tcW w:w="825" w:type="dxa"/>
            <w:shd w:val="clear" w:color="auto" w:fill="DFEBF5" w:themeFill="accent1" w:themeFillTint="33"/>
          </w:tcPr>
          <w:p w14:paraId="653A2ED0" w14:textId="77777777" w:rsidR="000F0378" w:rsidRPr="000F0378" w:rsidRDefault="000F0378" w:rsidP="00A96DA2">
            <w:pPr>
              <w:rPr>
                <w:rFonts w:cstheme="minorHAnsi"/>
                <w:szCs w:val="24"/>
              </w:rPr>
            </w:pPr>
            <w:r w:rsidRPr="000F0378">
              <w:rPr>
                <w:rFonts w:cstheme="minorHAnsi"/>
                <w:szCs w:val="24"/>
              </w:rPr>
              <w:t>63</w:t>
            </w:r>
          </w:p>
        </w:tc>
        <w:tc>
          <w:tcPr>
            <w:tcW w:w="825" w:type="dxa"/>
            <w:shd w:val="clear" w:color="auto" w:fill="DFEBF5" w:themeFill="accent1" w:themeFillTint="33"/>
          </w:tcPr>
          <w:p w14:paraId="0422C2D3" w14:textId="77777777" w:rsidR="000F0378" w:rsidRPr="000F0378" w:rsidRDefault="000F0378" w:rsidP="00A96DA2">
            <w:pPr>
              <w:rPr>
                <w:rFonts w:cstheme="minorHAnsi"/>
                <w:szCs w:val="24"/>
              </w:rPr>
            </w:pPr>
            <w:r w:rsidRPr="000F0378">
              <w:rPr>
                <w:rFonts w:cstheme="minorHAnsi"/>
                <w:szCs w:val="24"/>
              </w:rPr>
              <w:t>46.32</w:t>
            </w:r>
          </w:p>
        </w:tc>
      </w:tr>
      <w:tr w:rsidR="000F0378" w:rsidRPr="000F0378" w14:paraId="3A061109" w14:textId="77777777" w:rsidTr="00A96DA2">
        <w:trPr>
          <w:trHeight w:val="270"/>
        </w:trPr>
        <w:tc>
          <w:tcPr>
            <w:tcW w:w="4996" w:type="dxa"/>
            <w:shd w:val="clear" w:color="auto" w:fill="auto"/>
          </w:tcPr>
          <w:p w14:paraId="3388AEEC" w14:textId="77777777" w:rsidR="000F0378" w:rsidRPr="000F0378" w:rsidRDefault="000F0378" w:rsidP="00A96DA2">
            <w:pPr>
              <w:rPr>
                <w:rFonts w:cstheme="minorHAnsi"/>
                <w:b/>
                <w:szCs w:val="24"/>
              </w:rPr>
            </w:pPr>
            <w:r w:rsidRPr="000F0378">
              <w:rPr>
                <w:rFonts w:cstheme="minorHAnsi"/>
                <w:b/>
                <w:szCs w:val="24"/>
              </w:rPr>
              <w:t xml:space="preserve">     Latino</w:t>
            </w:r>
          </w:p>
        </w:tc>
        <w:tc>
          <w:tcPr>
            <w:tcW w:w="781" w:type="dxa"/>
            <w:shd w:val="clear" w:color="auto" w:fill="auto"/>
          </w:tcPr>
          <w:p w14:paraId="1DAB60B0" w14:textId="77777777" w:rsidR="000F0378" w:rsidRPr="000F0378" w:rsidRDefault="000F0378" w:rsidP="00A96DA2">
            <w:pPr>
              <w:rPr>
                <w:rFonts w:cstheme="minorHAnsi"/>
                <w:szCs w:val="24"/>
              </w:rPr>
            </w:pPr>
            <w:r w:rsidRPr="000F0378">
              <w:rPr>
                <w:rFonts w:cstheme="minorHAnsi"/>
                <w:szCs w:val="24"/>
              </w:rPr>
              <w:t>178</w:t>
            </w:r>
          </w:p>
        </w:tc>
        <w:tc>
          <w:tcPr>
            <w:tcW w:w="825" w:type="dxa"/>
            <w:shd w:val="clear" w:color="auto" w:fill="auto"/>
          </w:tcPr>
          <w:p w14:paraId="52A90851" w14:textId="77777777" w:rsidR="000F0378" w:rsidRPr="000F0378" w:rsidRDefault="000F0378" w:rsidP="00A96DA2">
            <w:pPr>
              <w:rPr>
                <w:rFonts w:cstheme="minorHAnsi"/>
                <w:szCs w:val="24"/>
              </w:rPr>
            </w:pPr>
            <w:r w:rsidRPr="000F0378">
              <w:rPr>
                <w:rFonts w:cstheme="minorHAnsi"/>
                <w:szCs w:val="24"/>
              </w:rPr>
              <w:t>19.86</w:t>
            </w:r>
          </w:p>
        </w:tc>
        <w:tc>
          <w:tcPr>
            <w:tcW w:w="825" w:type="dxa"/>
            <w:shd w:val="clear" w:color="auto" w:fill="auto"/>
          </w:tcPr>
          <w:p w14:paraId="39B0F719" w14:textId="77777777" w:rsidR="000F0378" w:rsidRPr="000F0378" w:rsidRDefault="000F0378" w:rsidP="00A96DA2">
            <w:pPr>
              <w:rPr>
                <w:rFonts w:cstheme="minorHAnsi"/>
                <w:szCs w:val="24"/>
              </w:rPr>
            </w:pPr>
            <w:r w:rsidRPr="000F0378">
              <w:rPr>
                <w:rFonts w:cstheme="minorHAnsi"/>
                <w:szCs w:val="24"/>
              </w:rPr>
              <w:t>12</w:t>
            </w:r>
          </w:p>
        </w:tc>
        <w:tc>
          <w:tcPr>
            <w:tcW w:w="825" w:type="dxa"/>
            <w:shd w:val="clear" w:color="auto" w:fill="auto"/>
          </w:tcPr>
          <w:p w14:paraId="55045498" w14:textId="77777777" w:rsidR="000F0378" w:rsidRPr="000F0378" w:rsidRDefault="000F0378" w:rsidP="00A96DA2">
            <w:pPr>
              <w:rPr>
                <w:rFonts w:cstheme="minorHAnsi"/>
                <w:szCs w:val="24"/>
              </w:rPr>
            </w:pPr>
            <w:r w:rsidRPr="000F0378">
              <w:rPr>
                <w:rFonts w:cstheme="minorHAnsi"/>
                <w:szCs w:val="24"/>
              </w:rPr>
              <w:t>3.03</w:t>
            </w:r>
          </w:p>
        </w:tc>
        <w:tc>
          <w:tcPr>
            <w:tcW w:w="825" w:type="dxa"/>
            <w:shd w:val="clear" w:color="auto" w:fill="auto"/>
          </w:tcPr>
          <w:p w14:paraId="222E353F" w14:textId="77777777" w:rsidR="000F0378" w:rsidRPr="000F0378" w:rsidRDefault="000F0378" w:rsidP="00A96DA2">
            <w:pPr>
              <w:rPr>
                <w:rFonts w:cstheme="minorHAnsi"/>
                <w:szCs w:val="24"/>
              </w:rPr>
            </w:pPr>
            <w:r w:rsidRPr="000F0378">
              <w:rPr>
                <w:rFonts w:cstheme="minorHAnsi"/>
                <w:szCs w:val="24"/>
              </w:rPr>
              <w:t>0</w:t>
            </w:r>
          </w:p>
        </w:tc>
        <w:tc>
          <w:tcPr>
            <w:tcW w:w="825" w:type="dxa"/>
            <w:shd w:val="clear" w:color="auto" w:fill="auto"/>
          </w:tcPr>
          <w:p w14:paraId="61BD662F" w14:textId="77777777" w:rsidR="000F0378" w:rsidRPr="000F0378" w:rsidRDefault="000F0378" w:rsidP="00A96DA2">
            <w:pPr>
              <w:rPr>
                <w:rFonts w:cstheme="minorHAnsi"/>
                <w:szCs w:val="24"/>
              </w:rPr>
            </w:pPr>
            <w:r w:rsidRPr="000F0378">
              <w:rPr>
                <w:rFonts w:cstheme="minorHAnsi"/>
                <w:szCs w:val="24"/>
              </w:rPr>
              <w:t>0</w:t>
            </w:r>
          </w:p>
        </w:tc>
      </w:tr>
      <w:tr w:rsidR="000F0378" w:rsidRPr="000F0378" w14:paraId="7F452484" w14:textId="77777777" w:rsidTr="00A96DA2">
        <w:trPr>
          <w:trHeight w:val="270"/>
        </w:trPr>
        <w:tc>
          <w:tcPr>
            <w:tcW w:w="4996" w:type="dxa"/>
            <w:shd w:val="clear" w:color="auto" w:fill="EBE8EC" w:themeFill="accent6" w:themeFillTint="33"/>
          </w:tcPr>
          <w:p w14:paraId="15C858B2" w14:textId="77777777" w:rsidR="000F0378" w:rsidRPr="000F0378" w:rsidRDefault="000F0378" w:rsidP="00A96DA2">
            <w:pPr>
              <w:rPr>
                <w:rFonts w:cstheme="minorHAnsi"/>
                <w:b/>
                <w:szCs w:val="24"/>
              </w:rPr>
            </w:pPr>
            <w:r w:rsidRPr="000F0378">
              <w:rPr>
                <w:rFonts w:cstheme="minorHAnsi"/>
                <w:b/>
                <w:szCs w:val="24"/>
              </w:rPr>
              <w:t xml:space="preserve">     White</w:t>
            </w:r>
          </w:p>
        </w:tc>
        <w:tc>
          <w:tcPr>
            <w:tcW w:w="781" w:type="dxa"/>
            <w:shd w:val="clear" w:color="auto" w:fill="EBE8EC" w:themeFill="accent6" w:themeFillTint="33"/>
          </w:tcPr>
          <w:p w14:paraId="41FF50A6" w14:textId="77777777" w:rsidR="000F0378" w:rsidRPr="000F0378" w:rsidRDefault="000F0378" w:rsidP="00A96DA2">
            <w:pPr>
              <w:rPr>
                <w:rFonts w:cstheme="minorHAnsi"/>
                <w:szCs w:val="24"/>
              </w:rPr>
            </w:pPr>
            <w:r w:rsidRPr="000F0378">
              <w:rPr>
                <w:rFonts w:cstheme="minorHAnsi"/>
                <w:szCs w:val="24"/>
              </w:rPr>
              <w:t>162</w:t>
            </w:r>
          </w:p>
        </w:tc>
        <w:tc>
          <w:tcPr>
            <w:tcW w:w="825" w:type="dxa"/>
            <w:shd w:val="clear" w:color="auto" w:fill="EBE8EC" w:themeFill="accent6" w:themeFillTint="33"/>
          </w:tcPr>
          <w:p w14:paraId="7AC5BBAE" w14:textId="77777777" w:rsidR="000F0378" w:rsidRPr="000F0378" w:rsidRDefault="000F0378" w:rsidP="00A96DA2">
            <w:pPr>
              <w:rPr>
                <w:rFonts w:cstheme="minorHAnsi"/>
                <w:szCs w:val="24"/>
              </w:rPr>
            </w:pPr>
            <w:r w:rsidRPr="000F0378">
              <w:rPr>
                <w:rFonts w:cstheme="minorHAnsi"/>
                <w:szCs w:val="24"/>
              </w:rPr>
              <w:t>18.08</w:t>
            </w:r>
          </w:p>
        </w:tc>
        <w:tc>
          <w:tcPr>
            <w:tcW w:w="825" w:type="dxa"/>
            <w:shd w:val="clear" w:color="auto" w:fill="EBE8EC" w:themeFill="accent6" w:themeFillTint="33"/>
          </w:tcPr>
          <w:p w14:paraId="0EBDF814" w14:textId="77777777" w:rsidR="000F0378" w:rsidRPr="000F0378" w:rsidRDefault="000F0378" w:rsidP="00A96DA2">
            <w:pPr>
              <w:rPr>
                <w:rFonts w:cstheme="minorHAnsi"/>
                <w:szCs w:val="24"/>
              </w:rPr>
            </w:pPr>
            <w:r w:rsidRPr="000F0378">
              <w:rPr>
                <w:rFonts w:cstheme="minorHAnsi"/>
                <w:szCs w:val="24"/>
              </w:rPr>
              <w:t>315</w:t>
            </w:r>
          </w:p>
        </w:tc>
        <w:tc>
          <w:tcPr>
            <w:tcW w:w="825" w:type="dxa"/>
            <w:shd w:val="clear" w:color="auto" w:fill="EBE8EC" w:themeFill="accent6" w:themeFillTint="33"/>
          </w:tcPr>
          <w:p w14:paraId="28E2C01A" w14:textId="77777777" w:rsidR="000F0378" w:rsidRPr="000F0378" w:rsidRDefault="000F0378" w:rsidP="00A96DA2">
            <w:pPr>
              <w:rPr>
                <w:rFonts w:cstheme="minorHAnsi"/>
                <w:szCs w:val="24"/>
              </w:rPr>
            </w:pPr>
            <w:r w:rsidRPr="000F0378">
              <w:rPr>
                <w:rFonts w:cstheme="minorHAnsi"/>
                <w:szCs w:val="24"/>
              </w:rPr>
              <w:t>79.54</w:t>
            </w:r>
          </w:p>
        </w:tc>
        <w:tc>
          <w:tcPr>
            <w:tcW w:w="825" w:type="dxa"/>
            <w:shd w:val="clear" w:color="auto" w:fill="EBE8EC" w:themeFill="accent6" w:themeFillTint="33"/>
          </w:tcPr>
          <w:p w14:paraId="1DF07F10" w14:textId="77777777" w:rsidR="000F0378" w:rsidRPr="000F0378" w:rsidRDefault="000F0378" w:rsidP="00A96DA2">
            <w:pPr>
              <w:rPr>
                <w:rFonts w:cstheme="minorHAnsi"/>
                <w:szCs w:val="24"/>
              </w:rPr>
            </w:pPr>
            <w:r w:rsidRPr="000F0378">
              <w:rPr>
                <w:rFonts w:cstheme="minorHAnsi"/>
                <w:szCs w:val="24"/>
              </w:rPr>
              <w:t>73</w:t>
            </w:r>
          </w:p>
        </w:tc>
        <w:tc>
          <w:tcPr>
            <w:tcW w:w="825" w:type="dxa"/>
            <w:shd w:val="clear" w:color="auto" w:fill="EBE8EC" w:themeFill="accent6" w:themeFillTint="33"/>
          </w:tcPr>
          <w:p w14:paraId="2E474595" w14:textId="77777777" w:rsidR="000F0378" w:rsidRPr="000F0378" w:rsidRDefault="000F0378" w:rsidP="00A96DA2">
            <w:pPr>
              <w:rPr>
                <w:rFonts w:cstheme="minorHAnsi"/>
                <w:szCs w:val="24"/>
              </w:rPr>
            </w:pPr>
            <w:r w:rsidRPr="000F0378">
              <w:rPr>
                <w:rFonts w:cstheme="minorHAnsi"/>
                <w:szCs w:val="24"/>
              </w:rPr>
              <w:t>53.67</w:t>
            </w:r>
          </w:p>
        </w:tc>
      </w:tr>
      <w:tr w:rsidR="000F0378" w:rsidRPr="000F0378" w14:paraId="34EF5FCA" w14:textId="77777777" w:rsidTr="00A96DA2">
        <w:trPr>
          <w:trHeight w:val="215"/>
        </w:trPr>
        <w:tc>
          <w:tcPr>
            <w:tcW w:w="4996" w:type="dxa"/>
          </w:tcPr>
          <w:p w14:paraId="1A96CF6C" w14:textId="77777777" w:rsidR="000F0378" w:rsidRPr="000F0378" w:rsidRDefault="000F0378" w:rsidP="00A96DA2">
            <w:pPr>
              <w:rPr>
                <w:rFonts w:cstheme="minorHAnsi"/>
                <w:b/>
                <w:szCs w:val="24"/>
              </w:rPr>
            </w:pPr>
            <w:r w:rsidRPr="000F0378">
              <w:rPr>
                <w:rFonts w:cstheme="minorHAnsi"/>
                <w:b/>
                <w:szCs w:val="24"/>
              </w:rPr>
              <w:t>Total</w:t>
            </w:r>
          </w:p>
        </w:tc>
        <w:tc>
          <w:tcPr>
            <w:tcW w:w="781" w:type="dxa"/>
          </w:tcPr>
          <w:p w14:paraId="26A01244" w14:textId="77777777" w:rsidR="000F0378" w:rsidRPr="000F0378" w:rsidRDefault="000F0378" w:rsidP="00A96DA2">
            <w:pPr>
              <w:rPr>
                <w:rFonts w:cstheme="minorHAnsi"/>
                <w:b/>
                <w:szCs w:val="24"/>
              </w:rPr>
            </w:pPr>
            <w:r w:rsidRPr="000F0378">
              <w:rPr>
                <w:rFonts w:cstheme="minorHAnsi"/>
                <w:b/>
                <w:szCs w:val="24"/>
              </w:rPr>
              <w:t>896</w:t>
            </w:r>
          </w:p>
        </w:tc>
        <w:tc>
          <w:tcPr>
            <w:tcW w:w="825" w:type="dxa"/>
          </w:tcPr>
          <w:p w14:paraId="65E97EBC" w14:textId="77777777" w:rsidR="000F0378" w:rsidRPr="000F0378" w:rsidRDefault="000F0378" w:rsidP="00A96DA2">
            <w:pPr>
              <w:rPr>
                <w:rFonts w:cstheme="minorHAnsi"/>
                <w:b/>
                <w:szCs w:val="24"/>
              </w:rPr>
            </w:pPr>
            <w:r w:rsidRPr="000F0378">
              <w:rPr>
                <w:rFonts w:cstheme="minorHAnsi"/>
                <w:b/>
                <w:szCs w:val="24"/>
              </w:rPr>
              <w:t>67.87</w:t>
            </w:r>
          </w:p>
        </w:tc>
        <w:tc>
          <w:tcPr>
            <w:tcW w:w="825" w:type="dxa"/>
          </w:tcPr>
          <w:p w14:paraId="49AFEFCD" w14:textId="77777777" w:rsidR="000F0378" w:rsidRPr="000F0378" w:rsidRDefault="000F0378" w:rsidP="00A96DA2">
            <w:pPr>
              <w:rPr>
                <w:rFonts w:cstheme="minorHAnsi"/>
                <w:b/>
                <w:szCs w:val="24"/>
              </w:rPr>
            </w:pPr>
            <w:r w:rsidRPr="000F0378">
              <w:rPr>
                <w:rFonts w:cstheme="minorHAnsi"/>
                <w:b/>
                <w:szCs w:val="24"/>
              </w:rPr>
              <w:t>396</w:t>
            </w:r>
          </w:p>
        </w:tc>
        <w:tc>
          <w:tcPr>
            <w:tcW w:w="825" w:type="dxa"/>
          </w:tcPr>
          <w:p w14:paraId="7D8F6ED3" w14:textId="77777777" w:rsidR="000F0378" w:rsidRPr="000F0378" w:rsidRDefault="000F0378" w:rsidP="00A96DA2">
            <w:pPr>
              <w:rPr>
                <w:rFonts w:cstheme="minorHAnsi"/>
                <w:b/>
                <w:szCs w:val="24"/>
              </w:rPr>
            </w:pPr>
            <w:r w:rsidRPr="000F0378">
              <w:rPr>
                <w:rFonts w:cstheme="minorHAnsi"/>
                <w:b/>
                <w:szCs w:val="24"/>
              </w:rPr>
              <w:t>62.95</w:t>
            </w:r>
          </w:p>
        </w:tc>
        <w:tc>
          <w:tcPr>
            <w:tcW w:w="825" w:type="dxa"/>
          </w:tcPr>
          <w:p w14:paraId="029B8F50" w14:textId="77777777" w:rsidR="000F0378" w:rsidRPr="000F0378" w:rsidRDefault="000F0378" w:rsidP="00A96DA2">
            <w:pPr>
              <w:rPr>
                <w:rFonts w:cstheme="minorHAnsi"/>
                <w:b/>
                <w:szCs w:val="24"/>
              </w:rPr>
            </w:pPr>
            <w:r w:rsidRPr="000F0378">
              <w:rPr>
                <w:rFonts w:cstheme="minorHAnsi"/>
                <w:b/>
                <w:szCs w:val="24"/>
              </w:rPr>
              <w:t>136</w:t>
            </w:r>
          </w:p>
        </w:tc>
        <w:tc>
          <w:tcPr>
            <w:tcW w:w="825" w:type="dxa"/>
          </w:tcPr>
          <w:p w14:paraId="24D5B0E1" w14:textId="77777777" w:rsidR="000F0378" w:rsidRPr="000F0378" w:rsidRDefault="000F0378" w:rsidP="00A96DA2">
            <w:pPr>
              <w:rPr>
                <w:rFonts w:cstheme="minorHAnsi"/>
                <w:b/>
                <w:szCs w:val="24"/>
              </w:rPr>
            </w:pPr>
            <w:r w:rsidRPr="000F0378">
              <w:rPr>
                <w:rFonts w:cstheme="minorHAnsi"/>
                <w:b/>
                <w:szCs w:val="24"/>
              </w:rPr>
              <w:t>71.57</w:t>
            </w:r>
          </w:p>
        </w:tc>
      </w:tr>
      <w:tr w:rsidR="000F0378" w:rsidRPr="000F0378" w14:paraId="5E97AB13" w14:textId="77777777" w:rsidTr="00A96DA2">
        <w:trPr>
          <w:trHeight w:val="276"/>
        </w:trPr>
        <w:tc>
          <w:tcPr>
            <w:tcW w:w="4996" w:type="dxa"/>
          </w:tcPr>
          <w:p w14:paraId="5E3A8DC4" w14:textId="77777777" w:rsidR="000F0378" w:rsidRPr="000F0378" w:rsidRDefault="000F0378" w:rsidP="00A96DA2">
            <w:pPr>
              <w:rPr>
                <w:rFonts w:cstheme="minorHAnsi"/>
                <w:b/>
                <w:szCs w:val="24"/>
              </w:rPr>
            </w:pPr>
            <w:r w:rsidRPr="000F0378">
              <w:rPr>
                <w:rFonts w:cstheme="minorHAnsi"/>
                <w:b/>
                <w:szCs w:val="24"/>
              </w:rPr>
              <w:t xml:space="preserve">Paraprofessionals / Administrative Support </w:t>
            </w:r>
          </w:p>
        </w:tc>
        <w:tc>
          <w:tcPr>
            <w:tcW w:w="781" w:type="dxa"/>
          </w:tcPr>
          <w:p w14:paraId="075D79B0"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2812147A"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58A8675B"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4F92027F"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2F76A651" w14:textId="77777777" w:rsidR="000F0378" w:rsidRPr="000F0378" w:rsidRDefault="000F0378" w:rsidP="00A96DA2">
            <w:pPr>
              <w:rPr>
                <w:rFonts w:cstheme="minorHAnsi"/>
                <w:szCs w:val="24"/>
              </w:rPr>
            </w:pPr>
            <w:r w:rsidRPr="000F0378">
              <w:rPr>
                <w:rFonts w:cstheme="minorHAnsi"/>
                <w:szCs w:val="24"/>
              </w:rPr>
              <w:t>#</w:t>
            </w:r>
          </w:p>
        </w:tc>
        <w:tc>
          <w:tcPr>
            <w:tcW w:w="825" w:type="dxa"/>
          </w:tcPr>
          <w:p w14:paraId="75D745A4" w14:textId="77777777" w:rsidR="000F0378" w:rsidRPr="000F0378" w:rsidRDefault="000F0378" w:rsidP="00A96DA2">
            <w:pPr>
              <w:rPr>
                <w:rFonts w:cstheme="minorHAnsi"/>
                <w:szCs w:val="24"/>
              </w:rPr>
            </w:pPr>
            <w:r w:rsidRPr="000F0378">
              <w:rPr>
                <w:rFonts w:cstheme="minorHAnsi"/>
                <w:szCs w:val="24"/>
              </w:rPr>
              <w:t>%</w:t>
            </w:r>
          </w:p>
        </w:tc>
      </w:tr>
      <w:tr w:rsidR="000F0378" w:rsidRPr="000F0378" w14:paraId="3A51BFF6" w14:textId="77777777" w:rsidTr="00A96DA2">
        <w:trPr>
          <w:trHeight w:val="270"/>
        </w:trPr>
        <w:tc>
          <w:tcPr>
            <w:tcW w:w="4996" w:type="dxa"/>
            <w:shd w:val="clear" w:color="auto" w:fill="DFEBF5" w:themeFill="accent1" w:themeFillTint="33"/>
          </w:tcPr>
          <w:p w14:paraId="7B8AD389" w14:textId="77777777" w:rsidR="000F0378" w:rsidRPr="000F0378" w:rsidRDefault="000F0378" w:rsidP="00A96DA2">
            <w:pPr>
              <w:rPr>
                <w:rFonts w:cstheme="minorHAnsi"/>
                <w:b/>
                <w:szCs w:val="24"/>
              </w:rPr>
            </w:pPr>
            <w:r w:rsidRPr="000F0378">
              <w:rPr>
                <w:rFonts w:cstheme="minorHAnsi"/>
                <w:b/>
                <w:szCs w:val="24"/>
              </w:rPr>
              <w:t xml:space="preserve">     Black</w:t>
            </w:r>
          </w:p>
        </w:tc>
        <w:tc>
          <w:tcPr>
            <w:tcW w:w="781" w:type="dxa"/>
            <w:shd w:val="clear" w:color="auto" w:fill="DFEBF5" w:themeFill="accent1" w:themeFillTint="33"/>
          </w:tcPr>
          <w:p w14:paraId="17E23498" w14:textId="77777777" w:rsidR="000F0378" w:rsidRPr="000F0378" w:rsidRDefault="000F0378" w:rsidP="00A96DA2">
            <w:pPr>
              <w:rPr>
                <w:rFonts w:cstheme="minorHAnsi"/>
                <w:szCs w:val="24"/>
              </w:rPr>
            </w:pPr>
            <w:r w:rsidRPr="000F0378">
              <w:rPr>
                <w:rFonts w:cstheme="minorHAnsi"/>
                <w:szCs w:val="24"/>
              </w:rPr>
              <w:t>101</w:t>
            </w:r>
          </w:p>
        </w:tc>
        <w:tc>
          <w:tcPr>
            <w:tcW w:w="825" w:type="dxa"/>
            <w:shd w:val="clear" w:color="auto" w:fill="DFEBF5" w:themeFill="accent1" w:themeFillTint="33"/>
          </w:tcPr>
          <w:p w14:paraId="5C086E94" w14:textId="77777777" w:rsidR="000F0378" w:rsidRPr="000F0378" w:rsidRDefault="000F0378" w:rsidP="00A96DA2">
            <w:pPr>
              <w:rPr>
                <w:rFonts w:cstheme="minorHAnsi"/>
                <w:szCs w:val="24"/>
              </w:rPr>
            </w:pPr>
            <w:r w:rsidRPr="000F0378">
              <w:rPr>
                <w:rFonts w:cstheme="minorHAnsi"/>
                <w:szCs w:val="24"/>
              </w:rPr>
              <w:t>58.72</w:t>
            </w:r>
          </w:p>
        </w:tc>
        <w:tc>
          <w:tcPr>
            <w:tcW w:w="825" w:type="dxa"/>
            <w:shd w:val="clear" w:color="auto" w:fill="DFEBF5" w:themeFill="accent1" w:themeFillTint="33"/>
          </w:tcPr>
          <w:p w14:paraId="4A8708EB" w14:textId="77777777" w:rsidR="000F0378" w:rsidRPr="000F0378" w:rsidRDefault="000F0378" w:rsidP="00A96DA2">
            <w:pPr>
              <w:rPr>
                <w:rFonts w:cstheme="minorHAnsi"/>
                <w:szCs w:val="24"/>
              </w:rPr>
            </w:pPr>
            <w:r w:rsidRPr="000F0378">
              <w:rPr>
                <w:rFonts w:cstheme="minorHAnsi"/>
                <w:szCs w:val="24"/>
              </w:rPr>
              <w:t>17</w:t>
            </w:r>
          </w:p>
        </w:tc>
        <w:tc>
          <w:tcPr>
            <w:tcW w:w="825" w:type="dxa"/>
            <w:shd w:val="clear" w:color="auto" w:fill="DFEBF5" w:themeFill="accent1" w:themeFillTint="33"/>
          </w:tcPr>
          <w:p w14:paraId="396E0174" w14:textId="77777777" w:rsidR="000F0378" w:rsidRPr="000F0378" w:rsidRDefault="000F0378" w:rsidP="00A96DA2">
            <w:pPr>
              <w:rPr>
                <w:rFonts w:cstheme="minorHAnsi"/>
                <w:szCs w:val="24"/>
              </w:rPr>
            </w:pPr>
            <w:r w:rsidRPr="000F0378">
              <w:rPr>
                <w:rFonts w:cstheme="minorHAnsi"/>
                <w:szCs w:val="24"/>
              </w:rPr>
              <w:t>15.31</w:t>
            </w:r>
          </w:p>
        </w:tc>
        <w:tc>
          <w:tcPr>
            <w:tcW w:w="825" w:type="dxa"/>
            <w:shd w:val="clear" w:color="auto" w:fill="DFEBF5" w:themeFill="accent1" w:themeFillTint="33"/>
          </w:tcPr>
          <w:p w14:paraId="4C3A9010" w14:textId="77777777" w:rsidR="000F0378" w:rsidRPr="000F0378" w:rsidRDefault="000F0378" w:rsidP="00A96DA2">
            <w:pPr>
              <w:rPr>
                <w:rFonts w:cstheme="minorHAnsi"/>
                <w:szCs w:val="24"/>
              </w:rPr>
            </w:pPr>
            <w:r w:rsidRPr="000F0378">
              <w:rPr>
                <w:rFonts w:cstheme="minorHAnsi"/>
                <w:szCs w:val="24"/>
              </w:rPr>
              <w:t>9</w:t>
            </w:r>
          </w:p>
        </w:tc>
        <w:tc>
          <w:tcPr>
            <w:tcW w:w="825" w:type="dxa"/>
            <w:shd w:val="clear" w:color="auto" w:fill="DFEBF5" w:themeFill="accent1" w:themeFillTint="33"/>
          </w:tcPr>
          <w:p w14:paraId="7DB5963E" w14:textId="77777777" w:rsidR="000F0378" w:rsidRPr="000F0378" w:rsidRDefault="000F0378" w:rsidP="00A96DA2">
            <w:pPr>
              <w:rPr>
                <w:rFonts w:cstheme="minorHAnsi"/>
                <w:szCs w:val="24"/>
              </w:rPr>
            </w:pPr>
            <w:r w:rsidRPr="000F0378">
              <w:rPr>
                <w:rFonts w:cstheme="minorHAnsi"/>
                <w:szCs w:val="24"/>
              </w:rPr>
              <w:t>42.85</w:t>
            </w:r>
          </w:p>
        </w:tc>
      </w:tr>
      <w:tr w:rsidR="000F0378" w:rsidRPr="000F0378" w14:paraId="7698A214" w14:textId="77777777" w:rsidTr="00A96DA2">
        <w:trPr>
          <w:trHeight w:val="270"/>
        </w:trPr>
        <w:tc>
          <w:tcPr>
            <w:tcW w:w="4996" w:type="dxa"/>
            <w:shd w:val="clear" w:color="auto" w:fill="auto"/>
          </w:tcPr>
          <w:p w14:paraId="6D3E0885" w14:textId="77777777" w:rsidR="000F0378" w:rsidRPr="000F0378" w:rsidRDefault="000F0378" w:rsidP="00A96DA2">
            <w:pPr>
              <w:rPr>
                <w:rFonts w:cstheme="minorHAnsi"/>
                <w:b/>
                <w:szCs w:val="24"/>
              </w:rPr>
            </w:pPr>
            <w:r w:rsidRPr="000F0378">
              <w:rPr>
                <w:rFonts w:cstheme="minorHAnsi"/>
                <w:b/>
                <w:szCs w:val="24"/>
              </w:rPr>
              <w:t xml:space="preserve">     Latino</w:t>
            </w:r>
          </w:p>
        </w:tc>
        <w:tc>
          <w:tcPr>
            <w:tcW w:w="781" w:type="dxa"/>
            <w:shd w:val="clear" w:color="auto" w:fill="auto"/>
          </w:tcPr>
          <w:p w14:paraId="7FD9D371" w14:textId="77777777" w:rsidR="000F0378" w:rsidRPr="000F0378" w:rsidRDefault="000F0378" w:rsidP="00A96DA2">
            <w:pPr>
              <w:rPr>
                <w:rFonts w:cstheme="minorHAnsi"/>
                <w:szCs w:val="24"/>
              </w:rPr>
            </w:pPr>
            <w:r w:rsidRPr="000F0378">
              <w:rPr>
                <w:rFonts w:cstheme="minorHAnsi"/>
                <w:szCs w:val="24"/>
              </w:rPr>
              <w:t>35</w:t>
            </w:r>
          </w:p>
        </w:tc>
        <w:tc>
          <w:tcPr>
            <w:tcW w:w="825" w:type="dxa"/>
            <w:shd w:val="clear" w:color="auto" w:fill="auto"/>
          </w:tcPr>
          <w:p w14:paraId="6291A370" w14:textId="77777777" w:rsidR="000F0378" w:rsidRPr="000F0378" w:rsidRDefault="000F0378" w:rsidP="00A96DA2">
            <w:pPr>
              <w:rPr>
                <w:rFonts w:cstheme="minorHAnsi"/>
                <w:szCs w:val="24"/>
              </w:rPr>
            </w:pPr>
            <w:r w:rsidRPr="000F0378">
              <w:rPr>
                <w:rFonts w:cstheme="minorHAnsi"/>
                <w:szCs w:val="24"/>
              </w:rPr>
              <w:t>20.34</w:t>
            </w:r>
          </w:p>
        </w:tc>
        <w:tc>
          <w:tcPr>
            <w:tcW w:w="825" w:type="dxa"/>
            <w:shd w:val="clear" w:color="auto" w:fill="auto"/>
          </w:tcPr>
          <w:p w14:paraId="0837F69A" w14:textId="77777777" w:rsidR="000F0378" w:rsidRPr="000F0378" w:rsidRDefault="000F0378" w:rsidP="00A96DA2">
            <w:pPr>
              <w:rPr>
                <w:rFonts w:cstheme="minorHAnsi"/>
                <w:szCs w:val="24"/>
              </w:rPr>
            </w:pPr>
            <w:r w:rsidRPr="000F0378">
              <w:rPr>
                <w:rFonts w:cstheme="minorHAnsi"/>
                <w:szCs w:val="24"/>
              </w:rPr>
              <w:t>3</w:t>
            </w:r>
          </w:p>
        </w:tc>
        <w:tc>
          <w:tcPr>
            <w:tcW w:w="825" w:type="dxa"/>
            <w:shd w:val="clear" w:color="auto" w:fill="auto"/>
          </w:tcPr>
          <w:p w14:paraId="65FC2F89" w14:textId="77777777" w:rsidR="000F0378" w:rsidRPr="000F0378" w:rsidRDefault="000F0378" w:rsidP="00A96DA2">
            <w:pPr>
              <w:rPr>
                <w:rFonts w:cstheme="minorHAnsi"/>
                <w:szCs w:val="24"/>
              </w:rPr>
            </w:pPr>
            <w:r w:rsidRPr="000F0378">
              <w:rPr>
                <w:rFonts w:cstheme="minorHAnsi"/>
                <w:szCs w:val="24"/>
              </w:rPr>
              <w:t>2.70</w:t>
            </w:r>
          </w:p>
        </w:tc>
        <w:tc>
          <w:tcPr>
            <w:tcW w:w="825" w:type="dxa"/>
            <w:shd w:val="clear" w:color="auto" w:fill="auto"/>
          </w:tcPr>
          <w:p w14:paraId="16B88073" w14:textId="77777777" w:rsidR="000F0378" w:rsidRPr="000F0378" w:rsidRDefault="000F0378" w:rsidP="00A96DA2">
            <w:pPr>
              <w:rPr>
                <w:rFonts w:cstheme="minorHAnsi"/>
                <w:szCs w:val="24"/>
              </w:rPr>
            </w:pPr>
            <w:r w:rsidRPr="000F0378">
              <w:rPr>
                <w:rFonts w:cstheme="minorHAnsi"/>
                <w:szCs w:val="24"/>
              </w:rPr>
              <w:t>0</w:t>
            </w:r>
          </w:p>
        </w:tc>
        <w:tc>
          <w:tcPr>
            <w:tcW w:w="825" w:type="dxa"/>
            <w:shd w:val="clear" w:color="auto" w:fill="auto"/>
          </w:tcPr>
          <w:p w14:paraId="3F2481E9" w14:textId="77777777" w:rsidR="000F0378" w:rsidRPr="000F0378" w:rsidRDefault="000F0378" w:rsidP="00A96DA2">
            <w:pPr>
              <w:rPr>
                <w:rFonts w:cstheme="minorHAnsi"/>
                <w:szCs w:val="24"/>
              </w:rPr>
            </w:pPr>
            <w:r w:rsidRPr="000F0378">
              <w:rPr>
                <w:rFonts w:cstheme="minorHAnsi"/>
                <w:szCs w:val="24"/>
              </w:rPr>
              <w:t>0</w:t>
            </w:r>
          </w:p>
        </w:tc>
      </w:tr>
      <w:tr w:rsidR="000F0378" w:rsidRPr="000F0378" w14:paraId="1744249F" w14:textId="77777777" w:rsidTr="00A96DA2">
        <w:trPr>
          <w:trHeight w:val="276"/>
        </w:trPr>
        <w:tc>
          <w:tcPr>
            <w:tcW w:w="4996" w:type="dxa"/>
            <w:shd w:val="clear" w:color="auto" w:fill="EBE8EC" w:themeFill="accent6" w:themeFillTint="33"/>
          </w:tcPr>
          <w:p w14:paraId="588EE2AF" w14:textId="77777777" w:rsidR="000F0378" w:rsidRPr="000F0378" w:rsidRDefault="000F0378" w:rsidP="00A96DA2">
            <w:pPr>
              <w:rPr>
                <w:rFonts w:cstheme="minorHAnsi"/>
                <w:b/>
                <w:szCs w:val="24"/>
              </w:rPr>
            </w:pPr>
            <w:r w:rsidRPr="000F0378">
              <w:rPr>
                <w:rFonts w:cstheme="minorHAnsi"/>
                <w:b/>
                <w:szCs w:val="24"/>
              </w:rPr>
              <w:t xml:space="preserve">     White</w:t>
            </w:r>
          </w:p>
        </w:tc>
        <w:tc>
          <w:tcPr>
            <w:tcW w:w="781" w:type="dxa"/>
            <w:shd w:val="clear" w:color="auto" w:fill="EBE8EC" w:themeFill="accent6" w:themeFillTint="33"/>
          </w:tcPr>
          <w:p w14:paraId="7C9B3281" w14:textId="77777777" w:rsidR="000F0378" w:rsidRPr="000F0378" w:rsidRDefault="000F0378" w:rsidP="00A96DA2">
            <w:pPr>
              <w:rPr>
                <w:rFonts w:cstheme="minorHAnsi"/>
                <w:szCs w:val="24"/>
              </w:rPr>
            </w:pPr>
            <w:r w:rsidRPr="000F0378">
              <w:rPr>
                <w:rFonts w:cstheme="minorHAnsi"/>
                <w:szCs w:val="24"/>
              </w:rPr>
              <w:t>36</w:t>
            </w:r>
          </w:p>
        </w:tc>
        <w:tc>
          <w:tcPr>
            <w:tcW w:w="825" w:type="dxa"/>
            <w:shd w:val="clear" w:color="auto" w:fill="EBE8EC" w:themeFill="accent6" w:themeFillTint="33"/>
          </w:tcPr>
          <w:p w14:paraId="68ED8462" w14:textId="77777777" w:rsidR="000F0378" w:rsidRPr="000F0378" w:rsidRDefault="000F0378" w:rsidP="00A96DA2">
            <w:pPr>
              <w:rPr>
                <w:rFonts w:cstheme="minorHAnsi"/>
                <w:szCs w:val="24"/>
              </w:rPr>
            </w:pPr>
            <w:r w:rsidRPr="000F0378">
              <w:rPr>
                <w:rFonts w:cstheme="minorHAnsi"/>
                <w:szCs w:val="24"/>
              </w:rPr>
              <w:t>20.93</w:t>
            </w:r>
          </w:p>
        </w:tc>
        <w:tc>
          <w:tcPr>
            <w:tcW w:w="825" w:type="dxa"/>
            <w:shd w:val="clear" w:color="auto" w:fill="EBE8EC" w:themeFill="accent6" w:themeFillTint="33"/>
          </w:tcPr>
          <w:p w14:paraId="7AFC97D0" w14:textId="77777777" w:rsidR="000F0378" w:rsidRPr="000F0378" w:rsidRDefault="000F0378" w:rsidP="00A96DA2">
            <w:pPr>
              <w:rPr>
                <w:rFonts w:cstheme="minorHAnsi"/>
                <w:szCs w:val="24"/>
              </w:rPr>
            </w:pPr>
            <w:r w:rsidRPr="000F0378">
              <w:rPr>
                <w:rFonts w:cstheme="minorHAnsi"/>
                <w:szCs w:val="24"/>
              </w:rPr>
              <w:t>91</w:t>
            </w:r>
          </w:p>
        </w:tc>
        <w:tc>
          <w:tcPr>
            <w:tcW w:w="825" w:type="dxa"/>
            <w:shd w:val="clear" w:color="auto" w:fill="EBE8EC" w:themeFill="accent6" w:themeFillTint="33"/>
          </w:tcPr>
          <w:p w14:paraId="4758FC33" w14:textId="77777777" w:rsidR="000F0378" w:rsidRPr="000F0378" w:rsidRDefault="000F0378" w:rsidP="00A96DA2">
            <w:pPr>
              <w:rPr>
                <w:rFonts w:cstheme="minorHAnsi"/>
                <w:szCs w:val="24"/>
              </w:rPr>
            </w:pPr>
            <w:r w:rsidRPr="000F0378">
              <w:rPr>
                <w:rFonts w:cstheme="minorHAnsi"/>
                <w:szCs w:val="24"/>
              </w:rPr>
              <w:t>81.98</w:t>
            </w:r>
          </w:p>
        </w:tc>
        <w:tc>
          <w:tcPr>
            <w:tcW w:w="825" w:type="dxa"/>
            <w:shd w:val="clear" w:color="auto" w:fill="EBE8EC" w:themeFill="accent6" w:themeFillTint="33"/>
          </w:tcPr>
          <w:p w14:paraId="3BD01143" w14:textId="77777777" w:rsidR="000F0378" w:rsidRPr="000F0378" w:rsidRDefault="000F0378" w:rsidP="00A96DA2">
            <w:pPr>
              <w:rPr>
                <w:rFonts w:cstheme="minorHAnsi"/>
                <w:szCs w:val="24"/>
              </w:rPr>
            </w:pPr>
            <w:r w:rsidRPr="000F0378">
              <w:rPr>
                <w:rFonts w:cstheme="minorHAnsi"/>
                <w:szCs w:val="24"/>
              </w:rPr>
              <w:t>12</w:t>
            </w:r>
          </w:p>
        </w:tc>
        <w:tc>
          <w:tcPr>
            <w:tcW w:w="825" w:type="dxa"/>
            <w:shd w:val="clear" w:color="auto" w:fill="EBE8EC" w:themeFill="accent6" w:themeFillTint="33"/>
          </w:tcPr>
          <w:p w14:paraId="3832FDEC" w14:textId="77777777" w:rsidR="000F0378" w:rsidRPr="000F0378" w:rsidRDefault="000F0378" w:rsidP="00A96DA2">
            <w:pPr>
              <w:rPr>
                <w:rFonts w:cstheme="minorHAnsi"/>
                <w:szCs w:val="24"/>
              </w:rPr>
            </w:pPr>
            <w:r w:rsidRPr="000F0378">
              <w:rPr>
                <w:rFonts w:cstheme="minorHAnsi"/>
                <w:szCs w:val="24"/>
              </w:rPr>
              <w:t>57.14</w:t>
            </w:r>
          </w:p>
        </w:tc>
      </w:tr>
      <w:tr w:rsidR="000F0378" w:rsidRPr="000F0378" w14:paraId="525F1229" w14:textId="77777777" w:rsidTr="00A96DA2">
        <w:trPr>
          <w:trHeight w:val="323"/>
        </w:trPr>
        <w:tc>
          <w:tcPr>
            <w:tcW w:w="4996" w:type="dxa"/>
          </w:tcPr>
          <w:p w14:paraId="2C3DB218" w14:textId="77777777" w:rsidR="000F0378" w:rsidRPr="000F0378" w:rsidRDefault="000F0378" w:rsidP="00A96DA2">
            <w:pPr>
              <w:rPr>
                <w:rFonts w:cstheme="minorHAnsi"/>
                <w:b/>
                <w:szCs w:val="24"/>
              </w:rPr>
            </w:pPr>
            <w:r w:rsidRPr="000F0378">
              <w:rPr>
                <w:rFonts w:cstheme="minorHAnsi"/>
                <w:b/>
                <w:szCs w:val="24"/>
              </w:rPr>
              <w:t xml:space="preserve">     Total</w:t>
            </w:r>
          </w:p>
        </w:tc>
        <w:tc>
          <w:tcPr>
            <w:tcW w:w="781" w:type="dxa"/>
          </w:tcPr>
          <w:p w14:paraId="55E5FD63" w14:textId="77777777" w:rsidR="000F0378" w:rsidRPr="000F0378" w:rsidRDefault="000F0378" w:rsidP="00A96DA2">
            <w:pPr>
              <w:rPr>
                <w:rFonts w:cstheme="minorHAnsi"/>
                <w:b/>
                <w:szCs w:val="24"/>
              </w:rPr>
            </w:pPr>
            <w:r w:rsidRPr="000F0378">
              <w:rPr>
                <w:rFonts w:cstheme="minorHAnsi"/>
                <w:b/>
                <w:szCs w:val="24"/>
              </w:rPr>
              <w:t>172</w:t>
            </w:r>
          </w:p>
        </w:tc>
        <w:tc>
          <w:tcPr>
            <w:tcW w:w="825" w:type="dxa"/>
          </w:tcPr>
          <w:p w14:paraId="7336A16B" w14:textId="77777777" w:rsidR="000F0378" w:rsidRPr="000F0378" w:rsidRDefault="000F0378" w:rsidP="00A96DA2">
            <w:pPr>
              <w:rPr>
                <w:rFonts w:cstheme="minorHAnsi"/>
                <w:b/>
                <w:szCs w:val="24"/>
              </w:rPr>
            </w:pPr>
            <w:r w:rsidRPr="000F0378">
              <w:rPr>
                <w:rFonts w:cstheme="minorHAnsi"/>
                <w:b/>
                <w:szCs w:val="24"/>
              </w:rPr>
              <w:t>13.03</w:t>
            </w:r>
          </w:p>
        </w:tc>
        <w:tc>
          <w:tcPr>
            <w:tcW w:w="825" w:type="dxa"/>
          </w:tcPr>
          <w:p w14:paraId="11DB79A3" w14:textId="77777777" w:rsidR="000F0378" w:rsidRPr="000F0378" w:rsidRDefault="000F0378" w:rsidP="00A96DA2">
            <w:pPr>
              <w:rPr>
                <w:rFonts w:cstheme="minorHAnsi"/>
                <w:b/>
                <w:szCs w:val="24"/>
              </w:rPr>
            </w:pPr>
            <w:r w:rsidRPr="000F0378">
              <w:rPr>
                <w:rFonts w:cstheme="minorHAnsi"/>
                <w:b/>
                <w:szCs w:val="24"/>
              </w:rPr>
              <w:t>111</w:t>
            </w:r>
          </w:p>
        </w:tc>
        <w:tc>
          <w:tcPr>
            <w:tcW w:w="825" w:type="dxa"/>
          </w:tcPr>
          <w:p w14:paraId="2BD62E1E" w14:textId="77777777" w:rsidR="000F0378" w:rsidRPr="000F0378" w:rsidRDefault="000F0378" w:rsidP="00A96DA2">
            <w:pPr>
              <w:rPr>
                <w:rFonts w:cstheme="minorHAnsi"/>
                <w:b/>
                <w:szCs w:val="24"/>
              </w:rPr>
            </w:pPr>
            <w:r w:rsidRPr="000F0378">
              <w:rPr>
                <w:rFonts w:cstheme="minorHAnsi"/>
                <w:b/>
                <w:szCs w:val="24"/>
              </w:rPr>
              <w:t>17.64</w:t>
            </w:r>
          </w:p>
        </w:tc>
        <w:tc>
          <w:tcPr>
            <w:tcW w:w="825" w:type="dxa"/>
          </w:tcPr>
          <w:p w14:paraId="52B40ED0" w14:textId="77777777" w:rsidR="000F0378" w:rsidRPr="000F0378" w:rsidRDefault="000F0378" w:rsidP="00A96DA2">
            <w:pPr>
              <w:rPr>
                <w:rFonts w:cstheme="minorHAnsi"/>
                <w:b/>
                <w:szCs w:val="24"/>
              </w:rPr>
            </w:pPr>
            <w:r w:rsidRPr="000F0378">
              <w:rPr>
                <w:rFonts w:cstheme="minorHAnsi"/>
                <w:b/>
                <w:szCs w:val="24"/>
              </w:rPr>
              <w:t>21</w:t>
            </w:r>
          </w:p>
        </w:tc>
        <w:tc>
          <w:tcPr>
            <w:tcW w:w="825" w:type="dxa"/>
          </w:tcPr>
          <w:p w14:paraId="60A91A33" w14:textId="77777777" w:rsidR="000F0378" w:rsidRPr="000F0378" w:rsidRDefault="000F0378" w:rsidP="00A96DA2">
            <w:pPr>
              <w:rPr>
                <w:rFonts w:cstheme="minorHAnsi"/>
                <w:b/>
                <w:szCs w:val="24"/>
              </w:rPr>
            </w:pPr>
            <w:r w:rsidRPr="000F0378">
              <w:rPr>
                <w:rFonts w:cstheme="minorHAnsi"/>
                <w:b/>
                <w:szCs w:val="24"/>
              </w:rPr>
              <w:t>11.05</w:t>
            </w:r>
          </w:p>
        </w:tc>
      </w:tr>
    </w:tbl>
    <w:p w14:paraId="24487D7F" w14:textId="77777777" w:rsidR="000F0378" w:rsidRPr="000F0378" w:rsidRDefault="000F0378" w:rsidP="000F0378">
      <w:pPr>
        <w:rPr>
          <w:rFonts w:cstheme="minorHAnsi"/>
          <w:szCs w:val="24"/>
        </w:rPr>
      </w:pPr>
    </w:p>
    <w:p w14:paraId="0C03395F" w14:textId="77777777" w:rsidR="000F0378" w:rsidRPr="000F0378" w:rsidRDefault="000F0378" w:rsidP="000F0378">
      <w:pPr>
        <w:rPr>
          <w:rFonts w:cstheme="minorHAnsi"/>
          <w:szCs w:val="24"/>
        </w:rPr>
      </w:pPr>
    </w:p>
    <w:p w14:paraId="72BCA8E2" w14:textId="77777777" w:rsidR="000F0378" w:rsidRPr="000F0378" w:rsidRDefault="000F0378" w:rsidP="000F0378">
      <w:pPr>
        <w:rPr>
          <w:rFonts w:cstheme="minorHAnsi"/>
          <w:szCs w:val="24"/>
        </w:rPr>
      </w:pPr>
    </w:p>
    <w:p w14:paraId="4AA7C8DB" w14:textId="77777777" w:rsidR="000F0378" w:rsidRPr="000F0378" w:rsidRDefault="000F0378" w:rsidP="000F0378">
      <w:pPr>
        <w:rPr>
          <w:rFonts w:cstheme="minorHAnsi"/>
          <w:szCs w:val="24"/>
        </w:rPr>
      </w:pPr>
    </w:p>
    <w:p w14:paraId="21D162FC" w14:textId="77777777" w:rsidR="000F0378" w:rsidRPr="000F0378" w:rsidRDefault="000F0378" w:rsidP="000F0378">
      <w:pPr>
        <w:rPr>
          <w:rFonts w:cstheme="minorHAnsi"/>
          <w:szCs w:val="24"/>
        </w:rPr>
      </w:pPr>
    </w:p>
    <w:p w14:paraId="78CF26D3" w14:textId="77777777" w:rsidR="000F0378" w:rsidRPr="000F0378" w:rsidRDefault="000F0378" w:rsidP="000F0378">
      <w:pPr>
        <w:rPr>
          <w:rFonts w:cstheme="minorHAnsi"/>
          <w:b/>
          <w:szCs w:val="24"/>
        </w:rPr>
      </w:pPr>
    </w:p>
    <w:p w14:paraId="3E115F38" w14:textId="77777777" w:rsidR="000F0378" w:rsidRPr="000F0378" w:rsidRDefault="000F0378" w:rsidP="000F0378">
      <w:pPr>
        <w:rPr>
          <w:rFonts w:cstheme="minorHAnsi"/>
          <w:b/>
          <w:szCs w:val="24"/>
        </w:rPr>
      </w:pPr>
    </w:p>
    <w:p w14:paraId="3543BB49" w14:textId="77777777" w:rsidR="000F0378" w:rsidRPr="000F0378" w:rsidRDefault="000F0378">
      <w:pPr>
        <w:rPr>
          <w:rFonts w:cstheme="minorHAnsi"/>
          <w:b/>
          <w:szCs w:val="24"/>
        </w:rPr>
      </w:pPr>
      <w:r w:rsidRPr="000F0378">
        <w:rPr>
          <w:rFonts w:cstheme="minorHAnsi"/>
          <w:b/>
          <w:szCs w:val="24"/>
        </w:rPr>
        <w:br w:type="page"/>
      </w:r>
    </w:p>
    <w:p w14:paraId="3B7EB6D8" w14:textId="4EB94974" w:rsidR="000F0378" w:rsidRPr="000F0378" w:rsidRDefault="000F0378" w:rsidP="000F0378">
      <w:pPr>
        <w:rPr>
          <w:rFonts w:cstheme="minorHAnsi"/>
          <w:b/>
          <w:szCs w:val="24"/>
        </w:rPr>
      </w:pPr>
      <w:r w:rsidRPr="000F0378">
        <w:rPr>
          <w:rFonts w:cstheme="minorHAnsi"/>
          <w:b/>
          <w:szCs w:val="24"/>
        </w:rPr>
        <w:t>CHART 2:  POS WORKFORCE DATA</w:t>
      </w:r>
    </w:p>
    <w:tbl>
      <w:tblPr>
        <w:tblStyle w:val="TableGrid"/>
        <w:tblW w:w="9871" w:type="dxa"/>
        <w:tblLayout w:type="fixed"/>
        <w:tblLook w:val="04A0" w:firstRow="1" w:lastRow="0" w:firstColumn="1" w:lastColumn="0" w:noHBand="0" w:noVBand="1"/>
      </w:tblPr>
      <w:tblGrid>
        <w:gridCol w:w="4827"/>
        <w:gridCol w:w="854"/>
        <w:gridCol w:w="898"/>
        <w:gridCol w:w="798"/>
        <w:gridCol w:w="798"/>
        <w:gridCol w:w="798"/>
        <w:gridCol w:w="898"/>
      </w:tblGrid>
      <w:tr w:rsidR="000F0378" w:rsidRPr="000F0378" w14:paraId="3D65406E" w14:textId="77777777" w:rsidTr="00A96DA2">
        <w:trPr>
          <w:trHeight w:val="275"/>
        </w:trPr>
        <w:tc>
          <w:tcPr>
            <w:tcW w:w="4827" w:type="dxa"/>
            <w:shd w:val="clear" w:color="auto" w:fill="A0C3E3" w:themeFill="accent1" w:themeFillTint="99"/>
          </w:tcPr>
          <w:p w14:paraId="07394B99" w14:textId="77777777" w:rsidR="000F0378" w:rsidRPr="000F0378" w:rsidRDefault="000F0378" w:rsidP="00A96DA2">
            <w:pPr>
              <w:rPr>
                <w:rFonts w:cstheme="minorHAnsi"/>
                <w:b/>
                <w:szCs w:val="24"/>
              </w:rPr>
            </w:pPr>
            <w:r w:rsidRPr="000F0378">
              <w:rPr>
                <w:rFonts w:cstheme="minorHAnsi"/>
                <w:b/>
                <w:szCs w:val="24"/>
              </w:rPr>
              <w:t>Job Categories</w:t>
            </w:r>
          </w:p>
        </w:tc>
        <w:tc>
          <w:tcPr>
            <w:tcW w:w="1752" w:type="dxa"/>
            <w:gridSpan w:val="2"/>
            <w:shd w:val="clear" w:color="auto" w:fill="A0C3E3" w:themeFill="accent1" w:themeFillTint="99"/>
          </w:tcPr>
          <w:p w14:paraId="3C15D8DD" w14:textId="77777777" w:rsidR="000F0378" w:rsidRPr="000F0378" w:rsidRDefault="000F0378" w:rsidP="00A96DA2">
            <w:pPr>
              <w:rPr>
                <w:rFonts w:cstheme="minorHAnsi"/>
                <w:b/>
                <w:szCs w:val="24"/>
              </w:rPr>
            </w:pPr>
            <w:r w:rsidRPr="000F0378">
              <w:rPr>
                <w:rFonts w:cstheme="minorHAnsi"/>
                <w:b/>
                <w:szCs w:val="24"/>
              </w:rPr>
              <w:t>Region 1</w:t>
            </w:r>
          </w:p>
        </w:tc>
        <w:tc>
          <w:tcPr>
            <w:tcW w:w="1596" w:type="dxa"/>
            <w:gridSpan w:val="2"/>
            <w:shd w:val="clear" w:color="auto" w:fill="A0C3E3" w:themeFill="accent1" w:themeFillTint="99"/>
          </w:tcPr>
          <w:p w14:paraId="2D2D7D8A" w14:textId="77777777" w:rsidR="000F0378" w:rsidRPr="000F0378" w:rsidRDefault="000F0378" w:rsidP="00A96DA2">
            <w:pPr>
              <w:rPr>
                <w:rFonts w:cstheme="minorHAnsi"/>
                <w:b/>
                <w:szCs w:val="24"/>
              </w:rPr>
            </w:pPr>
            <w:r w:rsidRPr="000F0378">
              <w:rPr>
                <w:rFonts w:cstheme="minorHAnsi"/>
                <w:b/>
                <w:szCs w:val="24"/>
              </w:rPr>
              <w:t>Region 2</w:t>
            </w:r>
          </w:p>
        </w:tc>
        <w:tc>
          <w:tcPr>
            <w:tcW w:w="1696" w:type="dxa"/>
            <w:gridSpan w:val="2"/>
            <w:shd w:val="clear" w:color="auto" w:fill="A0C3E3" w:themeFill="accent1" w:themeFillTint="99"/>
          </w:tcPr>
          <w:p w14:paraId="4535D626" w14:textId="77777777" w:rsidR="000F0378" w:rsidRPr="000F0378" w:rsidRDefault="000F0378" w:rsidP="00A96DA2">
            <w:pPr>
              <w:rPr>
                <w:rFonts w:cstheme="minorHAnsi"/>
                <w:b/>
                <w:szCs w:val="24"/>
              </w:rPr>
            </w:pPr>
            <w:r w:rsidRPr="000F0378">
              <w:rPr>
                <w:rFonts w:cstheme="minorHAnsi"/>
                <w:b/>
                <w:szCs w:val="24"/>
              </w:rPr>
              <w:t>Region 7</w:t>
            </w:r>
          </w:p>
        </w:tc>
      </w:tr>
      <w:tr w:rsidR="000F0378" w:rsidRPr="000F0378" w14:paraId="66EBBD13" w14:textId="77777777" w:rsidTr="00A96DA2">
        <w:trPr>
          <w:trHeight w:val="275"/>
        </w:trPr>
        <w:tc>
          <w:tcPr>
            <w:tcW w:w="4827" w:type="dxa"/>
          </w:tcPr>
          <w:p w14:paraId="70658085" w14:textId="77777777" w:rsidR="000F0378" w:rsidRPr="000F0378" w:rsidRDefault="000F0378" w:rsidP="00A96DA2">
            <w:pPr>
              <w:rPr>
                <w:rFonts w:cstheme="minorHAnsi"/>
                <w:b/>
                <w:szCs w:val="24"/>
              </w:rPr>
            </w:pPr>
            <w:r w:rsidRPr="000F0378">
              <w:rPr>
                <w:rFonts w:cstheme="minorHAnsi"/>
                <w:b/>
                <w:szCs w:val="24"/>
              </w:rPr>
              <w:t xml:space="preserve">All Job Categories </w:t>
            </w:r>
          </w:p>
        </w:tc>
        <w:tc>
          <w:tcPr>
            <w:tcW w:w="854" w:type="dxa"/>
          </w:tcPr>
          <w:p w14:paraId="01004FE1" w14:textId="77777777" w:rsidR="000F0378" w:rsidRPr="000F0378" w:rsidRDefault="000F0378" w:rsidP="00A96DA2">
            <w:pPr>
              <w:rPr>
                <w:rFonts w:cstheme="minorHAnsi"/>
                <w:szCs w:val="24"/>
              </w:rPr>
            </w:pPr>
            <w:r w:rsidRPr="000F0378">
              <w:rPr>
                <w:rFonts w:cstheme="minorHAnsi"/>
                <w:szCs w:val="24"/>
              </w:rPr>
              <w:t>#</w:t>
            </w:r>
          </w:p>
        </w:tc>
        <w:tc>
          <w:tcPr>
            <w:tcW w:w="897" w:type="dxa"/>
          </w:tcPr>
          <w:p w14:paraId="04050B09"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508516C3" w14:textId="77777777" w:rsidR="000F0378" w:rsidRPr="000F0378" w:rsidRDefault="000F0378" w:rsidP="00A96DA2">
            <w:pPr>
              <w:jc w:val="center"/>
              <w:rPr>
                <w:rFonts w:cstheme="minorHAnsi"/>
                <w:szCs w:val="24"/>
              </w:rPr>
            </w:pPr>
            <w:r w:rsidRPr="000F0378">
              <w:rPr>
                <w:rFonts w:cstheme="minorHAnsi"/>
                <w:szCs w:val="24"/>
              </w:rPr>
              <w:t>#</w:t>
            </w:r>
          </w:p>
        </w:tc>
        <w:tc>
          <w:tcPr>
            <w:tcW w:w="798" w:type="dxa"/>
          </w:tcPr>
          <w:p w14:paraId="1CC7088C"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1A9FA4F3" w14:textId="77777777" w:rsidR="000F0378" w:rsidRPr="000F0378" w:rsidRDefault="000F0378" w:rsidP="00A96DA2">
            <w:pPr>
              <w:rPr>
                <w:rFonts w:cstheme="minorHAnsi"/>
                <w:szCs w:val="24"/>
              </w:rPr>
            </w:pPr>
            <w:r w:rsidRPr="000F0378">
              <w:rPr>
                <w:rFonts w:cstheme="minorHAnsi"/>
                <w:szCs w:val="24"/>
              </w:rPr>
              <w:t>#</w:t>
            </w:r>
          </w:p>
        </w:tc>
        <w:tc>
          <w:tcPr>
            <w:tcW w:w="898" w:type="dxa"/>
          </w:tcPr>
          <w:p w14:paraId="7987B9B1" w14:textId="77777777" w:rsidR="000F0378" w:rsidRPr="000F0378" w:rsidRDefault="000F0378" w:rsidP="00A96DA2">
            <w:pPr>
              <w:rPr>
                <w:rFonts w:cstheme="minorHAnsi"/>
                <w:szCs w:val="24"/>
              </w:rPr>
            </w:pPr>
            <w:r w:rsidRPr="000F0378">
              <w:rPr>
                <w:rFonts w:cstheme="minorHAnsi"/>
                <w:szCs w:val="24"/>
              </w:rPr>
              <w:t>%</w:t>
            </w:r>
          </w:p>
        </w:tc>
      </w:tr>
      <w:tr w:rsidR="000F0378" w:rsidRPr="000F0378" w14:paraId="6DC4E81E" w14:textId="77777777" w:rsidTr="00A96DA2">
        <w:trPr>
          <w:trHeight w:val="267"/>
        </w:trPr>
        <w:tc>
          <w:tcPr>
            <w:tcW w:w="4827" w:type="dxa"/>
            <w:shd w:val="clear" w:color="auto" w:fill="C8CAE7" w:themeFill="text2" w:themeFillTint="33"/>
          </w:tcPr>
          <w:p w14:paraId="7CC172D1" w14:textId="77777777" w:rsidR="000F0378" w:rsidRPr="000F0378" w:rsidRDefault="000F0378" w:rsidP="00A96DA2">
            <w:pPr>
              <w:rPr>
                <w:rFonts w:cstheme="minorHAnsi"/>
                <w:b/>
                <w:szCs w:val="24"/>
              </w:rPr>
            </w:pPr>
            <w:r w:rsidRPr="000F0378">
              <w:rPr>
                <w:rFonts w:cstheme="minorHAnsi"/>
                <w:b/>
                <w:szCs w:val="24"/>
              </w:rPr>
              <w:t xml:space="preserve">     Black</w:t>
            </w:r>
          </w:p>
        </w:tc>
        <w:tc>
          <w:tcPr>
            <w:tcW w:w="854" w:type="dxa"/>
            <w:shd w:val="clear" w:color="auto" w:fill="C8CAE7" w:themeFill="text2" w:themeFillTint="33"/>
          </w:tcPr>
          <w:p w14:paraId="245EB1DD" w14:textId="77777777" w:rsidR="000F0378" w:rsidRPr="000F0378" w:rsidRDefault="000F0378" w:rsidP="00A96DA2">
            <w:pPr>
              <w:rPr>
                <w:rFonts w:cstheme="minorHAnsi"/>
                <w:szCs w:val="24"/>
              </w:rPr>
            </w:pPr>
            <w:r w:rsidRPr="000F0378">
              <w:rPr>
                <w:rFonts w:cstheme="minorHAnsi"/>
                <w:szCs w:val="24"/>
              </w:rPr>
              <w:t>1661</w:t>
            </w:r>
          </w:p>
        </w:tc>
        <w:tc>
          <w:tcPr>
            <w:tcW w:w="897" w:type="dxa"/>
            <w:shd w:val="clear" w:color="auto" w:fill="C8CAE7" w:themeFill="text2" w:themeFillTint="33"/>
          </w:tcPr>
          <w:p w14:paraId="5FDA4187" w14:textId="77777777" w:rsidR="000F0378" w:rsidRPr="000F0378" w:rsidRDefault="000F0378" w:rsidP="00A96DA2">
            <w:pPr>
              <w:rPr>
                <w:rFonts w:cstheme="minorHAnsi"/>
                <w:szCs w:val="24"/>
              </w:rPr>
            </w:pPr>
            <w:r w:rsidRPr="000F0378">
              <w:rPr>
                <w:rFonts w:cstheme="minorHAnsi"/>
                <w:szCs w:val="24"/>
              </w:rPr>
              <w:t>42.94</w:t>
            </w:r>
          </w:p>
        </w:tc>
        <w:tc>
          <w:tcPr>
            <w:tcW w:w="798" w:type="dxa"/>
            <w:shd w:val="clear" w:color="auto" w:fill="C8CAE7" w:themeFill="text2" w:themeFillTint="33"/>
          </w:tcPr>
          <w:p w14:paraId="5310B481" w14:textId="77777777" w:rsidR="000F0378" w:rsidRPr="000F0378" w:rsidRDefault="000F0378" w:rsidP="00A96DA2">
            <w:pPr>
              <w:rPr>
                <w:rFonts w:cstheme="minorHAnsi"/>
                <w:szCs w:val="24"/>
              </w:rPr>
            </w:pPr>
            <w:r w:rsidRPr="000F0378">
              <w:rPr>
                <w:rFonts w:cstheme="minorHAnsi"/>
                <w:szCs w:val="24"/>
              </w:rPr>
              <w:t>1071</w:t>
            </w:r>
          </w:p>
        </w:tc>
        <w:tc>
          <w:tcPr>
            <w:tcW w:w="798" w:type="dxa"/>
            <w:shd w:val="clear" w:color="auto" w:fill="C8CAE7" w:themeFill="text2" w:themeFillTint="33"/>
          </w:tcPr>
          <w:p w14:paraId="42E9983F" w14:textId="77777777" w:rsidR="000F0378" w:rsidRPr="000F0378" w:rsidRDefault="000F0378" w:rsidP="00A96DA2">
            <w:pPr>
              <w:rPr>
                <w:rFonts w:cstheme="minorHAnsi"/>
                <w:szCs w:val="24"/>
              </w:rPr>
            </w:pPr>
            <w:r w:rsidRPr="000F0378">
              <w:rPr>
                <w:rFonts w:cstheme="minorHAnsi"/>
                <w:szCs w:val="24"/>
              </w:rPr>
              <w:t>39.40</w:t>
            </w:r>
          </w:p>
        </w:tc>
        <w:tc>
          <w:tcPr>
            <w:tcW w:w="798" w:type="dxa"/>
            <w:shd w:val="clear" w:color="auto" w:fill="C8CAE7" w:themeFill="text2" w:themeFillTint="33"/>
          </w:tcPr>
          <w:p w14:paraId="16828B7F" w14:textId="77777777" w:rsidR="000F0378" w:rsidRPr="000F0378" w:rsidRDefault="000F0378" w:rsidP="00A96DA2">
            <w:pPr>
              <w:rPr>
                <w:rFonts w:cstheme="minorHAnsi"/>
                <w:szCs w:val="24"/>
              </w:rPr>
            </w:pPr>
            <w:r w:rsidRPr="000F0378">
              <w:rPr>
                <w:rFonts w:cstheme="minorHAnsi"/>
                <w:szCs w:val="24"/>
              </w:rPr>
              <w:t>237</w:t>
            </w:r>
          </w:p>
        </w:tc>
        <w:tc>
          <w:tcPr>
            <w:tcW w:w="898" w:type="dxa"/>
            <w:shd w:val="clear" w:color="auto" w:fill="C8CAE7" w:themeFill="text2" w:themeFillTint="33"/>
          </w:tcPr>
          <w:p w14:paraId="292E3C1D" w14:textId="77777777" w:rsidR="000F0378" w:rsidRPr="000F0378" w:rsidRDefault="000F0378" w:rsidP="00A96DA2">
            <w:pPr>
              <w:rPr>
                <w:rFonts w:cstheme="minorHAnsi"/>
                <w:szCs w:val="24"/>
              </w:rPr>
            </w:pPr>
            <w:r w:rsidRPr="000F0378">
              <w:rPr>
                <w:rFonts w:cstheme="minorHAnsi"/>
                <w:szCs w:val="24"/>
              </w:rPr>
              <w:t>19.17</w:t>
            </w:r>
          </w:p>
        </w:tc>
      </w:tr>
      <w:tr w:rsidR="000F0378" w:rsidRPr="000F0378" w14:paraId="7440C4DE" w14:textId="77777777" w:rsidTr="00A96DA2">
        <w:trPr>
          <w:trHeight w:val="275"/>
        </w:trPr>
        <w:tc>
          <w:tcPr>
            <w:tcW w:w="4827" w:type="dxa"/>
          </w:tcPr>
          <w:p w14:paraId="3609C0F5" w14:textId="77777777" w:rsidR="000F0378" w:rsidRPr="000F0378" w:rsidRDefault="000F0378" w:rsidP="00A96DA2">
            <w:pPr>
              <w:rPr>
                <w:rFonts w:cstheme="minorHAnsi"/>
                <w:b/>
                <w:szCs w:val="24"/>
              </w:rPr>
            </w:pPr>
            <w:r w:rsidRPr="000F0378">
              <w:rPr>
                <w:rFonts w:cstheme="minorHAnsi"/>
                <w:b/>
                <w:szCs w:val="24"/>
              </w:rPr>
              <w:t xml:space="preserve">     Latino</w:t>
            </w:r>
          </w:p>
        </w:tc>
        <w:tc>
          <w:tcPr>
            <w:tcW w:w="854" w:type="dxa"/>
          </w:tcPr>
          <w:p w14:paraId="2F3C4CCC" w14:textId="77777777" w:rsidR="000F0378" w:rsidRPr="000F0378" w:rsidRDefault="000F0378" w:rsidP="00A96DA2">
            <w:pPr>
              <w:rPr>
                <w:rFonts w:cstheme="minorHAnsi"/>
                <w:szCs w:val="24"/>
              </w:rPr>
            </w:pPr>
            <w:r w:rsidRPr="000F0378">
              <w:rPr>
                <w:rFonts w:cstheme="minorHAnsi"/>
                <w:szCs w:val="24"/>
              </w:rPr>
              <w:t>982</w:t>
            </w:r>
          </w:p>
        </w:tc>
        <w:tc>
          <w:tcPr>
            <w:tcW w:w="897" w:type="dxa"/>
          </w:tcPr>
          <w:p w14:paraId="375B0720" w14:textId="77777777" w:rsidR="000F0378" w:rsidRPr="000F0378" w:rsidRDefault="000F0378" w:rsidP="00A96DA2">
            <w:pPr>
              <w:rPr>
                <w:rFonts w:cstheme="minorHAnsi"/>
                <w:szCs w:val="24"/>
              </w:rPr>
            </w:pPr>
            <w:r w:rsidRPr="000F0378">
              <w:rPr>
                <w:rFonts w:cstheme="minorHAnsi"/>
                <w:szCs w:val="24"/>
              </w:rPr>
              <w:t>25.38</w:t>
            </w:r>
          </w:p>
        </w:tc>
        <w:tc>
          <w:tcPr>
            <w:tcW w:w="798" w:type="dxa"/>
          </w:tcPr>
          <w:p w14:paraId="3A2D285F" w14:textId="77777777" w:rsidR="000F0378" w:rsidRPr="000F0378" w:rsidRDefault="000F0378" w:rsidP="00A96DA2">
            <w:pPr>
              <w:rPr>
                <w:rFonts w:cstheme="minorHAnsi"/>
                <w:szCs w:val="24"/>
              </w:rPr>
            </w:pPr>
            <w:r w:rsidRPr="000F0378">
              <w:rPr>
                <w:rFonts w:cstheme="minorHAnsi"/>
                <w:szCs w:val="24"/>
              </w:rPr>
              <w:t>267</w:t>
            </w:r>
          </w:p>
        </w:tc>
        <w:tc>
          <w:tcPr>
            <w:tcW w:w="798" w:type="dxa"/>
          </w:tcPr>
          <w:p w14:paraId="7172A4DE" w14:textId="77777777" w:rsidR="000F0378" w:rsidRPr="000F0378" w:rsidRDefault="000F0378" w:rsidP="00A96DA2">
            <w:pPr>
              <w:rPr>
                <w:rFonts w:cstheme="minorHAnsi"/>
                <w:szCs w:val="24"/>
              </w:rPr>
            </w:pPr>
            <w:r w:rsidRPr="000F0378">
              <w:rPr>
                <w:rFonts w:cstheme="minorHAnsi"/>
                <w:szCs w:val="24"/>
              </w:rPr>
              <w:t>9.82</w:t>
            </w:r>
          </w:p>
        </w:tc>
        <w:tc>
          <w:tcPr>
            <w:tcW w:w="798" w:type="dxa"/>
          </w:tcPr>
          <w:p w14:paraId="562BC91D" w14:textId="77777777" w:rsidR="000F0378" w:rsidRPr="000F0378" w:rsidRDefault="000F0378" w:rsidP="00A96DA2">
            <w:pPr>
              <w:rPr>
                <w:rFonts w:cstheme="minorHAnsi"/>
                <w:szCs w:val="24"/>
              </w:rPr>
            </w:pPr>
            <w:r w:rsidRPr="000F0378">
              <w:rPr>
                <w:rFonts w:cstheme="minorHAnsi"/>
                <w:szCs w:val="24"/>
              </w:rPr>
              <w:t>20</w:t>
            </w:r>
          </w:p>
        </w:tc>
        <w:tc>
          <w:tcPr>
            <w:tcW w:w="898" w:type="dxa"/>
          </w:tcPr>
          <w:p w14:paraId="68CF5019" w14:textId="77777777" w:rsidR="000F0378" w:rsidRPr="000F0378" w:rsidRDefault="000F0378" w:rsidP="00A96DA2">
            <w:pPr>
              <w:rPr>
                <w:rFonts w:cstheme="minorHAnsi"/>
                <w:szCs w:val="24"/>
              </w:rPr>
            </w:pPr>
            <w:r w:rsidRPr="000F0378">
              <w:rPr>
                <w:rFonts w:cstheme="minorHAnsi"/>
                <w:szCs w:val="24"/>
              </w:rPr>
              <w:t>1.61</w:t>
            </w:r>
          </w:p>
        </w:tc>
      </w:tr>
      <w:tr w:rsidR="000F0378" w:rsidRPr="000F0378" w14:paraId="2A1DF680" w14:textId="77777777" w:rsidTr="00A96DA2">
        <w:trPr>
          <w:trHeight w:val="275"/>
        </w:trPr>
        <w:tc>
          <w:tcPr>
            <w:tcW w:w="4827" w:type="dxa"/>
            <w:shd w:val="clear" w:color="auto" w:fill="EBE8EC" w:themeFill="accent6" w:themeFillTint="33"/>
          </w:tcPr>
          <w:p w14:paraId="73CD672A" w14:textId="77777777" w:rsidR="000F0378" w:rsidRPr="000F0378" w:rsidRDefault="000F0378" w:rsidP="00A96DA2">
            <w:pPr>
              <w:rPr>
                <w:rFonts w:cstheme="minorHAnsi"/>
                <w:b/>
                <w:szCs w:val="24"/>
              </w:rPr>
            </w:pPr>
            <w:r w:rsidRPr="000F0378">
              <w:rPr>
                <w:rFonts w:cstheme="minorHAnsi"/>
                <w:b/>
                <w:szCs w:val="24"/>
              </w:rPr>
              <w:t xml:space="preserve">     White</w:t>
            </w:r>
          </w:p>
        </w:tc>
        <w:tc>
          <w:tcPr>
            <w:tcW w:w="854" w:type="dxa"/>
            <w:shd w:val="clear" w:color="auto" w:fill="EBE8EC" w:themeFill="accent6" w:themeFillTint="33"/>
          </w:tcPr>
          <w:p w14:paraId="29FBB377" w14:textId="77777777" w:rsidR="000F0378" w:rsidRPr="000F0378" w:rsidRDefault="000F0378" w:rsidP="00A96DA2">
            <w:pPr>
              <w:rPr>
                <w:rFonts w:cstheme="minorHAnsi"/>
                <w:szCs w:val="24"/>
              </w:rPr>
            </w:pPr>
            <w:r w:rsidRPr="000F0378">
              <w:rPr>
                <w:rFonts w:cstheme="minorHAnsi"/>
                <w:szCs w:val="24"/>
              </w:rPr>
              <w:t>1225</w:t>
            </w:r>
          </w:p>
        </w:tc>
        <w:tc>
          <w:tcPr>
            <w:tcW w:w="897" w:type="dxa"/>
            <w:shd w:val="clear" w:color="auto" w:fill="EBE8EC" w:themeFill="accent6" w:themeFillTint="33"/>
          </w:tcPr>
          <w:p w14:paraId="3820A3CA" w14:textId="77777777" w:rsidR="000F0378" w:rsidRPr="000F0378" w:rsidRDefault="000F0378" w:rsidP="00A96DA2">
            <w:pPr>
              <w:rPr>
                <w:rFonts w:cstheme="minorHAnsi"/>
                <w:szCs w:val="24"/>
              </w:rPr>
            </w:pPr>
            <w:r w:rsidRPr="000F0378">
              <w:rPr>
                <w:rFonts w:cstheme="minorHAnsi"/>
                <w:szCs w:val="24"/>
              </w:rPr>
              <w:t>31.67</w:t>
            </w:r>
          </w:p>
        </w:tc>
        <w:tc>
          <w:tcPr>
            <w:tcW w:w="798" w:type="dxa"/>
            <w:shd w:val="clear" w:color="auto" w:fill="EBE8EC" w:themeFill="accent6" w:themeFillTint="33"/>
          </w:tcPr>
          <w:p w14:paraId="573841C4" w14:textId="77777777" w:rsidR="000F0378" w:rsidRPr="000F0378" w:rsidRDefault="000F0378" w:rsidP="00A96DA2">
            <w:pPr>
              <w:rPr>
                <w:rFonts w:cstheme="minorHAnsi"/>
                <w:szCs w:val="24"/>
              </w:rPr>
            </w:pPr>
            <w:r w:rsidRPr="000F0378">
              <w:rPr>
                <w:rFonts w:cstheme="minorHAnsi"/>
                <w:szCs w:val="24"/>
              </w:rPr>
              <w:t>1380</w:t>
            </w:r>
          </w:p>
        </w:tc>
        <w:tc>
          <w:tcPr>
            <w:tcW w:w="798" w:type="dxa"/>
            <w:shd w:val="clear" w:color="auto" w:fill="EBE8EC" w:themeFill="accent6" w:themeFillTint="33"/>
          </w:tcPr>
          <w:p w14:paraId="243FDDB0" w14:textId="77777777" w:rsidR="000F0378" w:rsidRPr="000F0378" w:rsidRDefault="000F0378" w:rsidP="00A96DA2">
            <w:pPr>
              <w:rPr>
                <w:rFonts w:cstheme="minorHAnsi"/>
                <w:szCs w:val="24"/>
              </w:rPr>
            </w:pPr>
            <w:r w:rsidRPr="000F0378">
              <w:rPr>
                <w:rFonts w:cstheme="minorHAnsi"/>
                <w:szCs w:val="24"/>
              </w:rPr>
              <w:t>50.77</w:t>
            </w:r>
          </w:p>
        </w:tc>
        <w:tc>
          <w:tcPr>
            <w:tcW w:w="798" w:type="dxa"/>
            <w:shd w:val="clear" w:color="auto" w:fill="EBE8EC" w:themeFill="accent6" w:themeFillTint="33"/>
          </w:tcPr>
          <w:p w14:paraId="4128687A" w14:textId="77777777" w:rsidR="000F0378" w:rsidRPr="000F0378" w:rsidRDefault="000F0378" w:rsidP="00A96DA2">
            <w:pPr>
              <w:rPr>
                <w:rFonts w:cstheme="minorHAnsi"/>
                <w:szCs w:val="24"/>
              </w:rPr>
            </w:pPr>
            <w:r w:rsidRPr="000F0378">
              <w:rPr>
                <w:rFonts w:cstheme="minorHAnsi"/>
                <w:szCs w:val="24"/>
              </w:rPr>
              <w:t>979</w:t>
            </w:r>
          </w:p>
        </w:tc>
        <w:tc>
          <w:tcPr>
            <w:tcW w:w="898" w:type="dxa"/>
            <w:shd w:val="clear" w:color="auto" w:fill="EBE8EC" w:themeFill="accent6" w:themeFillTint="33"/>
          </w:tcPr>
          <w:p w14:paraId="463CEB5C" w14:textId="77777777" w:rsidR="000F0378" w:rsidRPr="000F0378" w:rsidRDefault="000F0378" w:rsidP="00A96DA2">
            <w:pPr>
              <w:rPr>
                <w:rFonts w:cstheme="minorHAnsi"/>
                <w:szCs w:val="24"/>
              </w:rPr>
            </w:pPr>
            <w:r w:rsidRPr="000F0378">
              <w:rPr>
                <w:rFonts w:cstheme="minorHAnsi"/>
                <w:szCs w:val="24"/>
              </w:rPr>
              <w:t>79.20</w:t>
            </w:r>
          </w:p>
        </w:tc>
      </w:tr>
      <w:tr w:rsidR="000F0378" w:rsidRPr="000F0378" w14:paraId="38C5A1AC" w14:textId="77777777" w:rsidTr="00A96DA2">
        <w:trPr>
          <w:trHeight w:val="275"/>
        </w:trPr>
        <w:tc>
          <w:tcPr>
            <w:tcW w:w="4827" w:type="dxa"/>
          </w:tcPr>
          <w:p w14:paraId="5A864A51" w14:textId="77777777" w:rsidR="000F0378" w:rsidRPr="000F0378" w:rsidRDefault="000F0378" w:rsidP="00A96DA2">
            <w:pPr>
              <w:rPr>
                <w:rFonts w:cstheme="minorHAnsi"/>
                <w:b/>
                <w:szCs w:val="24"/>
              </w:rPr>
            </w:pPr>
            <w:r w:rsidRPr="000F0378">
              <w:rPr>
                <w:rFonts w:cstheme="minorHAnsi"/>
                <w:b/>
                <w:szCs w:val="24"/>
              </w:rPr>
              <w:t xml:space="preserve">Total </w:t>
            </w:r>
          </w:p>
        </w:tc>
        <w:tc>
          <w:tcPr>
            <w:tcW w:w="854" w:type="dxa"/>
          </w:tcPr>
          <w:p w14:paraId="6CDDD9A5" w14:textId="77777777" w:rsidR="000F0378" w:rsidRPr="000F0378" w:rsidRDefault="000F0378" w:rsidP="00A96DA2">
            <w:pPr>
              <w:rPr>
                <w:rFonts w:cstheme="minorHAnsi"/>
                <w:b/>
                <w:szCs w:val="24"/>
              </w:rPr>
            </w:pPr>
            <w:r w:rsidRPr="000F0378">
              <w:rPr>
                <w:rFonts w:cstheme="minorHAnsi"/>
                <w:b/>
                <w:szCs w:val="24"/>
              </w:rPr>
              <w:t>3868</w:t>
            </w:r>
          </w:p>
        </w:tc>
        <w:tc>
          <w:tcPr>
            <w:tcW w:w="897" w:type="dxa"/>
          </w:tcPr>
          <w:p w14:paraId="15F36F14" w14:textId="77777777" w:rsidR="000F0378" w:rsidRPr="000F0378" w:rsidRDefault="000F0378" w:rsidP="00A96DA2">
            <w:pPr>
              <w:rPr>
                <w:rFonts w:cstheme="minorHAnsi"/>
                <w:b/>
                <w:szCs w:val="24"/>
              </w:rPr>
            </w:pPr>
            <w:r w:rsidRPr="000F0378">
              <w:rPr>
                <w:rFonts w:cstheme="minorHAnsi"/>
                <w:b/>
                <w:szCs w:val="24"/>
              </w:rPr>
              <w:t>100</w:t>
            </w:r>
          </w:p>
        </w:tc>
        <w:tc>
          <w:tcPr>
            <w:tcW w:w="798" w:type="dxa"/>
          </w:tcPr>
          <w:p w14:paraId="36F9078A" w14:textId="77777777" w:rsidR="000F0378" w:rsidRPr="000F0378" w:rsidRDefault="000F0378" w:rsidP="00A96DA2">
            <w:pPr>
              <w:rPr>
                <w:rFonts w:cstheme="minorHAnsi"/>
                <w:b/>
                <w:szCs w:val="24"/>
              </w:rPr>
            </w:pPr>
            <w:r w:rsidRPr="000F0378">
              <w:rPr>
                <w:rFonts w:cstheme="minorHAnsi"/>
                <w:b/>
                <w:szCs w:val="24"/>
              </w:rPr>
              <w:t>2718</w:t>
            </w:r>
          </w:p>
        </w:tc>
        <w:tc>
          <w:tcPr>
            <w:tcW w:w="798" w:type="dxa"/>
          </w:tcPr>
          <w:p w14:paraId="0AA31898" w14:textId="77777777" w:rsidR="000F0378" w:rsidRPr="000F0378" w:rsidRDefault="000F0378" w:rsidP="00A96DA2">
            <w:pPr>
              <w:rPr>
                <w:rFonts w:cstheme="minorHAnsi"/>
                <w:b/>
                <w:szCs w:val="24"/>
              </w:rPr>
            </w:pPr>
            <w:r w:rsidRPr="000F0378">
              <w:rPr>
                <w:rFonts w:cstheme="minorHAnsi"/>
                <w:b/>
                <w:szCs w:val="24"/>
              </w:rPr>
              <w:t>100</w:t>
            </w:r>
          </w:p>
        </w:tc>
        <w:tc>
          <w:tcPr>
            <w:tcW w:w="798" w:type="dxa"/>
          </w:tcPr>
          <w:p w14:paraId="2DF3426E" w14:textId="77777777" w:rsidR="000F0378" w:rsidRPr="000F0378" w:rsidRDefault="000F0378" w:rsidP="00A96DA2">
            <w:pPr>
              <w:rPr>
                <w:rFonts w:cstheme="minorHAnsi"/>
                <w:b/>
                <w:szCs w:val="24"/>
              </w:rPr>
            </w:pPr>
            <w:r w:rsidRPr="000F0378">
              <w:rPr>
                <w:rFonts w:cstheme="minorHAnsi"/>
                <w:b/>
                <w:szCs w:val="24"/>
              </w:rPr>
              <w:t>1236</w:t>
            </w:r>
          </w:p>
        </w:tc>
        <w:tc>
          <w:tcPr>
            <w:tcW w:w="898" w:type="dxa"/>
          </w:tcPr>
          <w:p w14:paraId="68484D2D" w14:textId="77777777" w:rsidR="000F0378" w:rsidRPr="000F0378" w:rsidRDefault="000F0378" w:rsidP="00A96DA2">
            <w:pPr>
              <w:rPr>
                <w:rFonts w:cstheme="minorHAnsi"/>
                <w:b/>
                <w:szCs w:val="24"/>
              </w:rPr>
            </w:pPr>
            <w:r w:rsidRPr="000F0378">
              <w:rPr>
                <w:rFonts w:cstheme="minorHAnsi"/>
                <w:b/>
                <w:szCs w:val="24"/>
              </w:rPr>
              <w:t>100</w:t>
            </w:r>
          </w:p>
        </w:tc>
      </w:tr>
      <w:tr w:rsidR="000F0378" w:rsidRPr="000F0378" w14:paraId="0E510F23" w14:textId="77777777" w:rsidTr="00A96DA2">
        <w:trPr>
          <w:trHeight w:val="275"/>
        </w:trPr>
        <w:tc>
          <w:tcPr>
            <w:tcW w:w="4827" w:type="dxa"/>
          </w:tcPr>
          <w:p w14:paraId="10D813A9" w14:textId="77777777" w:rsidR="000F0378" w:rsidRPr="000F0378" w:rsidRDefault="000F0378" w:rsidP="00A96DA2">
            <w:pPr>
              <w:rPr>
                <w:rFonts w:cstheme="minorHAnsi"/>
                <w:b/>
                <w:szCs w:val="24"/>
              </w:rPr>
            </w:pPr>
            <w:r w:rsidRPr="000F0378">
              <w:rPr>
                <w:rFonts w:cstheme="minorHAnsi"/>
                <w:b/>
                <w:szCs w:val="24"/>
              </w:rPr>
              <w:t>Officials/Administrators</w:t>
            </w:r>
          </w:p>
        </w:tc>
        <w:tc>
          <w:tcPr>
            <w:tcW w:w="854" w:type="dxa"/>
          </w:tcPr>
          <w:p w14:paraId="4C76FB82" w14:textId="77777777" w:rsidR="000F0378" w:rsidRPr="000F0378" w:rsidRDefault="000F0378" w:rsidP="00A96DA2">
            <w:pPr>
              <w:rPr>
                <w:rFonts w:cstheme="minorHAnsi"/>
                <w:szCs w:val="24"/>
              </w:rPr>
            </w:pPr>
            <w:r w:rsidRPr="000F0378">
              <w:rPr>
                <w:rFonts w:cstheme="minorHAnsi"/>
                <w:szCs w:val="24"/>
              </w:rPr>
              <w:t>#</w:t>
            </w:r>
          </w:p>
        </w:tc>
        <w:tc>
          <w:tcPr>
            <w:tcW w:w="897" w:type="dxa"/>
          </w:tcPr>
          <w:p w14:paraId="0B9B7E26"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67433C10"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19641DDD"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30DA57EA" w14:textId="77777777" w:rsidR="000F0378" w:rsidRPr="000F0378" w:rsidRDefault="000F0378" w:rsidP="00A96DA2">
            <w:pPr>
              <w:rPr>
                <w:rFonts w:cstheme="minorHAnsi"/>
                <w:szCs w:val="24"/>
              </w:rPr>
            </w:pPr>
            <w:r w:rsidRPr="000F0378">
              <w:rPr>
                <w:rFonts w:cstheme="minorHAnsi"/>
                <w:szCs w:val="24"/>
              </w:rPr>
              <w:t>#</w:t>
            </w:r>
          </w:p>
        </w:tc>
        <w:tc>
          <w:tcPr>
            <w:tcW w:w="898" w:type="dxa"/>
          </w:tcPr>
          <w:p w14:paraId="436B816D" w14:textId="77777777" w:rsidR="000F0378" w:rsidRPr="000F0378" w:rsidRDefault="000F0378" w:rsidP="00A96DA2">
            <w:pPr>
              <w:rPr>
                <w:rFonts w:cstheme="minorHAnsi"/>
                <w:szCs w:val="24"/>
              </w:rPr>
            </w:pPr>
            <w:r w:rsidRPr="000F0378">
              <w:rPr>
                <w:rFonts w:cstheme="minorHAnsi"/>
                <w:szCs w:val="24"/>
              </w:rPr>
              <w:t>%</w:t>
            </w:r>
          </w:p>
        </w:tc>
      </w:tr>
      <w:tr w:rsidR="000F0378" w:rsidRPr="000F0378" w14:paraId="21826796" w14:textId="77777777" w:rsidTr="00A96DA2">
        <w:trPr>
          <w:trHeight w:val="275"/>
        </w:trPr>
        <w:tc>
          <w:tcPr>
            <w:tcW w:w="4827" w:type="dxa"/>
            <w:shd w:val="clear" w:color="auto" w:fill="C8CAE7" w:themeFill="text2" w:themeFillTint="33"/>
          </w:tcPr>
          <w:p w14:paraId="56BE71B4" w14:textId="77777777" w:rsidR="000F0378" w:rsidRPr="000F0378" w:rsidRDefault="000F0378" w:rsidP="00A96DA2">
            <w:pPr>
              <w:rPr>
                <w:rFonts w:cstheme="minorHAnsi"/>
                <w:b/>
                <w:szCs w:val="24"/>
              </w:rPr>
            </w:pPr>
            <w:r w:rsidRPr="000F0378">
              <w:rPr>
                <w:rFonts w:cstheme="minorHAnsi"/>
                <w:b/>
                <w:szCs w:val="24"/>
              </w:rPr>
              <w:t xml:space="preserve">     Black</w:t>
            </w:r>
          </w:p>
        </w:tc>
        <w:tc>
          <w:tcPr>
            <w:tcW w:w="854" w:type="dxa"/>
            <w:shd w:val="clear" w:color="auto" w:fill="C8CAE7" w:themeFill="text2" w:themeFillTint="33"/>
          </w:tcPr>
          <w:p w14:paraId="631CE4E0" w14:textId="77777777" w:rsidR="000F0378" w:rsidRPr="000F0378" w:rsidRDefault="000F0378" w:rsidP="00A96DA2">
            <w:pPr>
              <w:rPr>
                <w:rFonts w:cstheme="minorHAnsi"/>
                <w:szCs w:val="24"/>
              </w:rPr>
            </w:pPr>
            <w:r w:rsidRPr="000F0378">
              <w:rPr>
                <w:rFonts w:cstheme="minorHAnsi"/>
                <w:szCs w:val="24"/>
              </w:rPr>
              <w:t>126</w:t>
            </w:r>
          </w:p>
        </w:tc>
        <w:tc>
          <w:tcPr>
            <w:tcW w:w="897" w:type="dxa"/>
            <w:shd w:val="clear" w:color="auto" w:fill="C8CAE7" w:themeFill="text2" w:themeFillTint="33"/>
          </w:tcPr>
          <w:p w14:paraId="66854116" w14:textId="77777777" w:rsidR="000F0378" w:rsidRPr="000F0378" w:rsidRDefault="000F0378" w:rsidP="00A96DA2">
            <w:pPr>
              <w:rPr>
                <w:rFonts w:cstheme="minorHAnsi"/>
                <w:szCs w:val="24"/>
              </w:rPr>
            </w:pPr>
            <w:r w:rsidRPr="000F0378">
              <w:rPr>
                <w:rFonts w:cstheme="minorHAnsi"/>
                <w:szCs w:val="24"/>
              </w:rPr>
              <w:t>27.69</w:t>
            </w:r>
          </w:p>
        </w:tc>
        <w:tc>
          <w:tcPr>
            <w:tcW w:w="798" w:type="dxa"/>
            <w:shd w:val="clear" w:color="auto" w:fill="C8CAE7" w:themeFill="text2" w:themeFillTint="33"/>
          </w:tcPr>
          <w:p w14:paraId="211ECF6C" w14:textId="77777777" w:rsidR="000F0378" w:rsidRPr="000F0378" w:rsidRDefault="000F0378" w:rsidP="00A96DA2">
            <w:pPr>
              <w:rPr>
                <w:rFonts w:cstheme="minorHAnsi"/>
                <w:szCs w:val="24"/>
              </w:rPr>
            </w:pPr>
            <w:r w:rsidRPr="000F0378">
              <w:rPr>
                <w:rFonts w:cstheme="minorHAnsi"/>
                <w:szCs w:val="24"/>
              </w:rPr>
              <w:t>90</w:t>
            </w:r>
          </w:p>
        </w:tc>
        <w:tc>
          <w:tcPr>
            <w:tcW w:w="798" w:type="dxa"/>
            <w:shd w:val="clear" w:color="auto" w:fill="C8CAE7" w:themeFill="text2" w:themeFillTint="33"/>
          </w:tcPr>
          <w:p w14:paraId="36082153" w14:textId="77777777" w:rsidR="000F0378" w:rsidRPr="000F0378" w:rsidRDefault="000F0378" w:rsidP="00A96DA2">
            <w:pPr>
              <w:rPr>
                <w:rFonts w:cstheme="minorHAnsi"/>
                <w:szCs w:val="24"/>
              </w:rPr>
            </w:pPr>
            <w:r w:rsidRPr="000F0378">
              <w:rPr>
                <w:rFonts w:cstheme="minorHAnsi"/>
                <w:szCs w:val="24"/>
              </w:rPr>
              <w:t>28.48</w:t>
            </w:r>
          </w:p>
        </w:tc>
        <w:tc>
          <w:tcPr>
            <w:tcW w:w="798" w:type="dxa"/>
            <w:shd w:val="clear" w:color="auto" w:fill="C8CAE7" w:themeFill="text2" w:themeFillTint="33"/>
          </w:tcPr>
          <w:p w14:paraId="70F344BE" w14:textId="77777777" w:rsidR="000F0378" w:rsidRPr="000F0378" w:rsidRDefault="000F0378" w:rsidP="00A96DA2">
            <w:pPr>
              <w:rPr>
                <w:rFonts w:cstheme="minorHAnsi"/>
                <w:szCs w:val="24"/>
              </w:rPr>
            </w:pPr>
            <w:r w:rsidRPr="000F0378">
              <w:rPr>
                <w:rFonts w:cstheme="minorHAnsi"/>
                <w:szCs w:val="24"/>
              </w:rPr>
              <w:t>7</w:t>
            </w:r>
          </w:p>
        </w:tc>
        <w:tc>
          <w:tcPr>
            <w:tcW w:w="898" w:type="dxa"/>
            <w:shd w:val="clear" w:color="auto" w:fill="C8CAE7" w:themeFill="text2" w:themeFillTint="33"/>
          </w:tcPr>
          <w:p w14:paraId="3FA113D3" w14:textId="77777777" w:rsidR="000F0378" w:rsidRPr="000F0378" w:rsidRDefault="000F0378" w:rsidP="00A96DA2">
            <w:pPr>
              <w:rPr>
                <w:rFonts w:cstheme="minorHAnsi"/>
                <w:szCs w:val="24"/>
              </w:rPr>
            </w:pPr>
            <w:r w:rsidRPr="000F0378">
              <w:rPr>
                <w:rFonts w:cstheme="minorHAnsi"/>
                <w:szCs w:val="24"/>
              </w:rPr>
              <w:t>4.45</w:t>
            </w:r>
          </w:p>
        </w:tc>
      </w:tr>
      <w:tr w:rsidR="000F0378" w:rsidRPr="000F0378" w14:paraId="3D9A14D5" w14:textId="77777777" w:rsidTr="00A96DA2">
        <w:trPr>
          <w:trHeight w:val="267"/>
        </w:trPr>
        <w:tc>
          <w:tcPr>
            <w:tcW w:w="4827" w:type="dxa"/>
          </w:tcPr>
          <w:p w14:paraId="22CCA87B" w14:textId="77777777" w:rsidR="000F0378" w:rsidRPr="000F0378" w:rsidRDefault="000F0378" w:rsidP="00A96DA2">
            <w:pPr>
              <w:rPr>
                <w:rFonts w:cstheme="minorHAnsi"/>
                <w:b/>
                <w:szCs w:val="24"/>
              </w:rPr>
            </w:pPr>
            <w:r w:rsidRPr="000F0378">
              <w:rPr>
                <w:rFonts w:cstheme="minorHAnsi"/>
                <w:b/>
                <w:szCs w:val="24"/>
              </w:rPr>
              <w:t xml:space="preserve">     Latino</w:t>
            </w:r>
          </w:p>
        </w:tc>
        <w:tc>
          <w:tcPr>
            <w:tcW w:w="854" w:type="dxa"/>
          </w:tcPr>
          <w:p w14:paraId="206838FF" w14:textId="77777777" w:rsidR="000F0378" w:rsidRPr="000F0378" w:rsidRDefault="000F0378" w:rsidP="00A96DA2">
            <w:pPr>
              <w:rPr>
                <w:rFonts w:cstheme="minorHAnsi"/>
                <w:szCs w:val="24"/>
              </w:rPr>
            </w:pPr>
            <w:r w:rsidRPr="000F0378">
              <w:rPr>
                <w:rFonts w:cstheme="minorHAnsi"/>
                <w:szCs w:val="24"/>
              </w:rPr>
              <w:t>73</w:t>
            </w:r>
          </w:p>
        </w:tc>
        <w:tc>
          <w:tcPr>
            <w:tcW w:w="897" w:type="dxa"/>
          </w:tcPr>
          <w:p w14:paraId="595F5EF5" w14:textId="77777777" w:rsidR="000F0378" w:rsidRPr="000F0378" w:rsidRDefault="000F0378" w:rsidP="00A96DA2">
            <w:pPr>
              <w:rPr>
                <w:rFonts w:cstheme="minorHAnsi"/>
                <w:szCs w:val="24"/>
              </w:rPr>
            </w:pPr>
            <w:r w:rsidRPr="000F0378">
              <w:rPr>
                <w:rFonts w:cstheme="minorHAnsi"/>
                <w:szCs w:val="24"/>
              </w:rPr>
              <w:t>16.04</w:t>
            </w:r>
          </w:p>
        </w:tc>
        <w:tc>
          <w:tcPr>
            <w:tcW w:w="798" w:type="dxa"/>
          </w:tcPr>
          <w:p w14:paraId="3ACAD26B" w14:textId="77777777" w:rsidR="000F0378" w:rsidRPr="000F0378" w:rsidRDefault="000F0378" w:rsidP="00A96DA2">
            <w:pPr>
              <w:rPr>
                <w:rFonts w:cstheme="minorHAnsi"/>
                <w:szCs w:val="24"/>
              </w:rPr>
            </w:pPr>
            <w:r w:rsidRPr="000F0378">
              <w:rPr>
                <w:rFonts w:cstheme="minorHAnsi"/>
                <w:szCs w:val="24"/>
              </w:rPr>
              <w:t>16</w:t>
            </w:r>
          </w:p>
        </w:tc>
        <w:tc>
          <w:tcPr>
            <w:tcW w:w="798" w:type="dxa"/>
          </w:tcPr>
          <w:p w14:paraId="11F71E8D" w14:textId="77777777" w:rsidR="000F0378" w:rsidRPr="000F0378" w:rsidRDefault="000F0378" w:rsidP="00A96DA2">
            <w:pPr>
              <w:rPr>
                <w:rFonts w:cstheme="minorHAnsi"/>
                <w:szCs w:val="24"/>
              </w:rPr>
            </w:pPr>
            <w:r w:rsidRPr="000F0378">
              <w:rPr>
                <w:rFonts w:cstheme="minorHAnsi"/>
                <w:szCs w:val="24"/>
              </w:rPr>
              <w:t>5.06</w:t>
            </w:r>
          </w:p>
        </w:tc>
        <w:tc>
          <w:tcPr>
            <w:tcW w:w="798" w:type="dxa"/>
          </w:tcPr>
          <w:p w14:paraId="505BCC3B" w14:textId="77777777" w:rsidR="000F0378" w:rsidRPr="000F0378" w:rsidRDefault="000F0378" w:rsidP="00A96DA2">
            <w:pPr>
              <w:rPr>
                <w:rFonts w:cstheme="minorHAnsi"/>
                <w:szCs w:val="24"/>
              </w:rPr>
            </w:pPr>
            <w:r w:rsidRPr="000F0378">
              <w:rPr>
                <w:rFonts w:cstheme="minorHAnsi"/>
                <w:szCs w:val="24"/>
              </w:rPr>
              <w:t>2</w:t>
            </w:r>
          </w:p>
        </w:tc>
        <w:tc>
          <w:tcPr>
            <w:tcW w:w="898" w:type="dxa"/>
          </w:tcPr>
          <w:p w14:paraId="6CB6D86F" w14:textId="77777777" w:rsidR="000F0378" w:rsidRPr="000F0378" w:rsidRDefault="000F0378" w:rsidP="00A96DA2">
            <w:pPr>
              <w:rPr>
                <w:rFonts w:cstheme="minorHAnsi"/>
                <w:szCs w:val="24"/>
              </w:rPr>
            </w:pPr>
            <w:r w:rsidRPr="000F0378">
              <w:rPr>
                <w:rFonts w:cstheme="minorHAnsi"/>
                <w:szCs w:val="24"/>
              </w:rPr>
              <w:t>1.27</w:t>
            </w:r>
          </w:p>
        </w:tc>
      </w:tr>
      <w:tr w:rsidR="000F0378" w:rsidRPr="000F0378" w14:paraId="53C1CFB0" w14:textId="77777777" w:rsidTr="00A96DA2">
        <w:trPr>
          <w:trHeight w:val="275"/>
        </w:trPr>
        <w:tc>
          <w:tcPr>
            <w:tcW w:w="4827" w:type="dxa"/>
            <w:shd w:val="clear" w:color="auto" w:fill="EBE8EC" w:themeFill="accent6" w:themeFillTint="33"/>
          </w:tcPr>
          <w:p w14:paraId="5B1E089E" w14:textId="77777777" w:rsidR="000F0378" w:rsidRPr="000F0378" w:rsidRDefault="000F0378" w:rsidP="00A96DA2">
            <w:pPr>
              <w:rPr>
                <w:rFonts w:cstheme="minorHAnsi"/>
                <w:b/>
                <w:szCs w:val="24"/>
              </w:rPr>
            </w:pPr>
            <w:r w:rsidRPr="000F0378">
              <w:rPr>
                <w:rFonts w:cstheme="minorHAnsi"/>
                <w:b/>
                <w:szCs w:val="24"/>
              </w:rPr>
              <w:t xml:space="preserve">     White</w:t>
            </w:r>
          </w:p>
        </w:tc>
        <w:tc>
          <w:tcPr>
            <w:tcW w:w="854" w:type="dxa"/>
            <w:shd w:val="clear" w:color="auto" w:fill="EBE8EC" w:themeFill="accent6" w:themeFillTint="33"/>
          </w:tcPr>
          <w:p w14:paraId="2A3D7C0D" w14:textId="77777777" w:rsidR="000F0378" w:rsidRPr="000F0378" w:rsidRDefault="000F0378" w:rsidP="00A96DA2">
            <w:pPr>
              <w:rPr>
                <w:rFonts w:cstheme="minorHAnsi"/>
                <w:szCs w:val="24"/>
              </w:rPr>
            </w:pPr>
            <w:r w:rsidRPr="000F0378">
              <w:rPr>
                <w:rFonts w:cstheme="minorHAnsi"/>
                <w:szCs w:val="24"/>
              </w:rPr>
              <w:t>256</w:t>
            </w:r>
          </w:p>
        </w:tc>
        <w:tc>
          <w:tcPr>
            <w:tcW w:w="897" w:type="dxa"/>
            <w:shd w:val="clear" w:color="auto" w:fill="EBE8EC" w:themeFill="accent6" w:themeFillTint="33"/>
          </w:tcPr>
          <w:p w14:paraId="13CCD2B8" w14:textId="77777777" w:rsidR="000F0378" w:rsidRPr="000F0378" w:rsidRDefault="000F0378" w:rsidP="00A96DA2">
            <w:pPr>
              <w:rPr>
                <w:rFonts w:cstheme="minorHAnsi"/>
                <w:szCs w:val="24"/>
              </w:rPr>
            </w:pPr>
            <w:r w:rsidRPr="000F0378">
              <w:rPr>
                <w:rFonts w:cstheme="minorHAnsi"/>
                <w:szCs w:val="24"/>
              </w:rPr>
              <w:t>56.26</w:t>
            </w:r>
          </w:p>
        </w:tc>
        <w:tc>
          <w:tcPr>
            <w:tcW w:w="798" w:type="dxa"/>
            <w:shd w:val="clear" w:color="auto" w:fill="EBE8EC" w:themeFill="accent6" w:themeFillTint="33"/>
          </w:tcPr>
          <w:p w14:paraId="33BCA813" w14:textId="77777777" w:rsidR="000F0378" w:rsidRPr="000F0378" w:rsidRDefault="000F0378" w:rsidP="00A96DA2">
            <w:pPr>
              <w:rPr>
                <w:rFonts w:cstheme="minorHAnsi"/>
                <w:szCs w:val="24"/>
              </w:rPr>
            </w:pPr>
            <w:r w:rsidRPr="000F0378">
              <w:rPr>
                <w:rFonts w:cstheme="minorHAnsi"/>
                <w:szCs w:val="24"/>
              </w:rPr>
              <w:t>210</w:t>
            </w:r>
          </w:p>
        </w:tc>
        <w:tc>
          <w:tcPr>
            <w:tcW w:w="798" w:type="dxa"/>
            <w:shd w:val="clear" w:color="auto" w:fill="EBE8EC" w:themeFill="accent6" w:themeFillTint="33"/>
          </w:tcPr>
          <w:p w14:paraId="6788A276" w14:textId="77777777" w:rsidR="000F0378" w:rsidRPr="000F0378" w:rsidRDefault="000F0378" w:rsidP="00A96DA2">
            <w:pPr>
              <w:rPr>
                <w:rFonts w:cstheme="minorHAnsi"/>
                <w:szCs w:val="24"/>
              </w:rPr>
            </w:pPr>
            <w:r w:rsidRPr="000F0378">
              <w:rPr>
                <w:rFonts w:cstheme="minorHAnsi"/>
                <w:szCs w:val="24"/>
              </w:rPr>
              <w:t>66.46</w:t>
            </w:r>
          </w:p>
        </w:tc>
        <w:tc>
          <w:tcPr>
            <w:tcW w:w="798" w:type="dxa"/>
            <w:shd w:val="clear" w:color="auto" w:fill="EBE8EC" w:themeFill="accent6" w:themeFillTint="33"/>
          </w:tcPr>
          <w:p w14:paraId="7FCD8698" w14:textId="77777777" w:rsidR="000F0378" w:rsidRPr="000F0378" w:rsidRDefault="000F0378" w:rsidP="00A96DA2">
            <w:pPr>
              <w:rPr>
                <w:rFonts w:cstheme="minorHAnsi"/>
                <w:szCs w:val="24"/>
              </w:rPr>
            </w:pPr>
            <w:r w:rsidRPr="000F0378">
              <w:rPr>
                <w:rFonts w:cstheme="minorHAnsi"/>
                <w:szCs w:val="24"/>
              </w:rPr>
              <w:t>148</w:t>
            </w:r>
          </w:p>
        </w:tc>
        <w:tc>
          <w:tcPr>
            <w:tcW w:w="898" w:type="dxa"/>
            <w:shd w:val="clear" w:color="auto" w:fill="EBE8EC" w:themeFill="accent6" w:themeFillTint="33"/>
          </w:tcPr>
          <w:p w14:paraId="0AB16D7B" w14:textId="77777777" w:rsidR="000F0378" w:rsidRPr="000F0378" w:rsidRDefault="000F0378" w:rsidP="00A96DA2">
            <w:pPr>
              <w:rPr>
                <w:rFonts w:cstheme="minorHAnsi"/>
                <w:szCs w:val="24"/>
              </w:rPr>
            </w:pPr>
            <w:r w:rsidRPr="000F0378">
              <w:rPr>
                <w:rFonts w:cstheme="minorHAnsi"/>
                <w:szCs w:val="24"/>
              </w:rPr>
              <w:t>94.26</w:t>
            </w:r>
          </w:p>
        </w:tc>
      </w:tr>
      <w:tr w:rsidR="000F0378" w:rsidRPr="000F0378" w14:paraId="2C7B05D1" w14:textId="77777777" w:rsidTr="00A96DA2">
        <w:trPr>
          <w:trHeight w:val="262"/>
        </w:trPr>
        <w:tc>
          <w:tcPr>
            <w:tcW w:w="4827" w:type="dxa"/>
          </w:tcPr>
          <w:p w14:paraId="4D498221" w14:textId="77777777" w:rsidR="000F0378" w:rsidRPr="000F0378" w:rsidRDefault="000F0378" w:rsidP="00A96DA2">
            <w:pPr>
              <w:rPr>
                <w:rFonts w:cstheme="minorHAnsi"/>
                <w:b/>
                <w:szCs w:val="24"/>
              </w:rPr>
            </w:pPr>
            <w:r w:rsidRPr="000F0378">
              <w:rPr>
                <w:rFonts w:cstheme="minorHAnsi"/>
                <w:b/>
                <w:szCs w:val="24"/>
              </w:rPr>
              <w:t>Total</w:t>
            </w:r>
          </w:p>
        </w:tc>
        <w:tc>
          <w:tcPr>
            <w:tcW w:w="854" w:type="dxa"/>
          </w:tcPr>
          <w:p w14:paraId="18121B1C" w14:textId="77777777" w:rsidR="000F0378" w:rsidRPr="000F0378" w:rsidRDefault="000F0378" w:rsidP="00A96DA2">
            <w:pPr>
              <w:rPr>
                <w:rFonts w:cstheme="minorHAnsi"/>
                <w:b/>
                <w:szCs w:val="24"/>
              </w:rPr>
            </w:pPr>
            <w:r w:rsidRPr="000F0378">
              <w:rPr>
                <w:rFonts w:cstheme="minorHAnsi"/>
                <w:b/>
                <w:szCs w:val="24"/>
              </w:rPr>
              <w:t>455</w:t>
            </w:r>
          </w:p>
        </w:tc>
        <w:tc>
          <w:tcPr>
            <w:tcW w:w="897" w:type="dxa"/>
          </w:tcPr>
          <w:p w14:paraId="09A6C2F6" w14:textId="77777777" w:rsidR="000F0378" w:rsidRPr="000F0378" w:rsidRDefault="000F0378" w:rsidP="00A96DA2">
            <w:pPr>
              <w:rPr>
                <w:rFonts w:cstheme="minorHAnsi"/>
                <w:b/>
                <w:szCs w:val="24"/>
              </w:rPr>
            </w:pPr>
            <w:r w:rsidRPr="000F0378">
              <w:rPr>
                <w:rFonts w:cstheme="minorHAnsi"/>
                <w:b/>
                <w:szCs w:val="24"/>
              </w:rPr>
              <w:t>11.76</w:t>
            </w:r>
          </w:p>
        </w:tc>
        <w:tc>
          <w:tcPr>
            <w:tcW w:w="798" w:type="dxa"/>
          </w:tcPr>
          <w:p w14:paraId="5D921D46" w14:textId="77777777" w:rsidR="000F0378" w:rsidRPr="000F0378" w:rsidRDefault="000F0378" w:rsidP="00A96DA2">
            <w:pPr>
              <w:rPr>
                <w:rFonts w:cstheme="minorHAnsi"/>
                <w:b/>
                <w:szCs w:val="24"/>
              </w:rPr>
            </w:pPr>
            <w:r w:rsidRPr="000F0378">
              <w:rPr>
                <w:rFonts w:cstheme="minorHAnsi"/>
                <w:b/>
                <w:szCs w:val="24"/>
              </w:rPr>
              <w:t>316</w:t>
            </w:r>
          </w:p>
        </w:tc>
        <w:tc>
          <w:tcPr>
            <w:tcW w:w="798" w:type="dxa"/>
          </w:tcPr>
          <w:p w14:paraId="4979F254" w14:textId="77777777" w:rsidR="000F0378" w:rsidRPr="000F0378" w:rsidRDefault="000F0378" w:rsidP="00A96DA2">
            <w:pPr>
              <w:rPr>
                <w:rFonts w:cstheme="minorHAnsi"/>
                <w:b/>
                <w:szCs w:val="24"/>
              </w:rPr>
            </w:pPr>
            <w:r w:rsidRPr="000F0378">
              <w:rPr>
                <w:rFonts w:cstheme="minorHAnsi"/>
                <w:b/>
                <w:szCs w:val="24"/>
              </w:rPr>
              <w:t>11.62</w:t>
            </w:r>
          </w:p>
        </w:tc>
        <w:tc>
          <w:tcPr>
            <w:tcW w:w="798" w:type="dxa"/>
          </w:tcPr>
          <w:p w14:paraId="66524992" w14:textId="77777777" w:rsidR="000F0378" w:rsidRPr="000F0378" w:rsidRDefault="000F0378" w:rsidP="00A96DA2">
            <w:pPr>
              <w:rPr>
                <w:rFonts w:cstheme="minorHAnsi"/>
                <w:b/>
                <w:szCs w:val="24"/>
              </w:rPr>
            </w:pPr>
            <w:r w:rsidRPr="000F0378">
              <w:rPr>
                <w:rFonts w:cstheme="minorHAnsi"/>
                <w:b/>
                <w:szCs w:val="24"/>
              </w:rPr>
              <w:t>157</w:t>
            </w:r>
          </w:p>
        </w:tc>
        <w:tc>
          <w:tcPr>
            <w:tcW w:w="898" w:type="dxa"/>
          </w:tcPr>
          <w:p w14:paraId="7DDD43B2" w14:textId="77777777" w:rsidR="000F0378" w:rsidRPr="000F0378" w:rsidRDefault="000F0378" w:rsidP="00A96DA2">
            <w:pPr>
              <w:rPr>
                <w:rFonts w:cstheme="minorHAnsi"/>
                <w:b/>
                <w:szCs w:val="24"/>
              </w:rPr>
            </w:pPr>
            <w:r w:rsidRPr="000F0378">
              <w:rPr>
                <w:rFonts w:cstheme="minorHAnsi"/>
                <w:b/>
                <w:szCs w:val="24"/>
              </w:rPr>
              <w:t>12.70</w:t>
            </w:r>
          </w:p>
        </w:tc>
      </w:tr>
      <w:tr w:rsidR="000F0378" w:rsidRPr="000F0378" w14:paraId="09998B9E" w14:textId="77777777" w:rsidTr="00A96DA2">
        <w:trPr>
          <w:trHeight w:val="267"/>
        </w:trPr>
        <w:tc>
          <w:tcPr>
            <w:tcW w:w="4827" w:type="dxa"/>
          </w:tcPr>
          <w:p w14:paraId="069AEA09" w14:textId="77777777" w:rsidR="000F0378" w:rsidRPr="000F0378" w:rsidRDefault="000F0378" w:rsidP="00A96DA2">
            <w:pPr>
              <w:rPr>
                <w:rFonts w:cstheme="minorHAnsi"/>
                <w:b/>
                <w:szCs w:val="24"/>
              </w:rPr>
            </w:pPr>
            <w:r w:rsidRPr="000F0378">
              <w:rPr>
                <w:rFonts w:cstheme="minorHAnsi"/>
                <w:b/>
                <w:szCs w:val="24"/>
              </w:rPr>
              <w:t>Professionals</w:t>
            </w:r>
          </w:p>
        </w:tc>
        <w:tc>
          <w:tcPr>
            <w:tcW w:w="854" w:type="dxa"/>
          </w:tcPr>
          <w:p w14:paraId="00111D36" w14:textId="77777777" w:rsidR="000F0378" w:rsidRPr="000F0378" w:rsidRDefault="000F0378" w:rsidP="00A96DA2">
            <w:pPr>
              <w:rPr>
                <w:rFonts w:cstheme="minorHAnsi"/>
                <w:szCs w:val="24"/>
              </w:rPr>
            </w:pPr>
            <w:r w:rsidRPr="000F0378">
              <w:rPr>
                <w:rFonts w:cstheme="minorHAnsi"/>
                <w:szCs w:val="24"/>
              </w:rPr>
              <w:t>#</w:t>
            </w:r>
          </w:p>
        </w:tc>
        <w:tc>
          <w:tcPr>
            <w:tcW w:w="897" w:type="dxa"/>
          </w:tcPr>
          <w:p w14:paraId="2B9A4E1A"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59B2F8BD"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41FD421A"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2BDDB850" w14:textId="77777777" w:rsidR="000F0378" w:rsidRPr="000F0378" w:rsidRDefault="000F0378" w:rsidP="00A96DA2">
            <w:pPr>
              <w:rPr>
                <w:rFonts w:cstheme="minorHAnsi"/>
                <w:szCs w:val="24"/>
              </w:rPr>
            </w:pPr>
            <w:r w:rsidRPr="000F0378">
              <w:rPr>
                <w:rFonts w:cstheme="minorHAnsi"/>
                <w:szCs w:val="24"/>
              </w:rPr>
              <w:t>#</w:t>
            </w:r>
          </w:p>
        </w:tc>
        <w:tc>
          <w:tcPr>
            <w:tcW w:w="898" w:type="dxa"/>
          </w:tcPr>
          <w:p w14:paraId="73F498DF" w14:textId="77777777" w:rsidR="000F0378" w:rsidRPr="000F0378" w:rsidRDefault="000F0378" w:rsidP="00A96DA2">
            <w:pPr>
              <w:rPr>
                <w:rFonts w:cstheme="minorHAnsi"/>
                <w:szCs w:val="24"/>
              </w:rPr>
            </w:pPr>
            <w:r w:rsidRPr="000F0378">
              <w:rPr>
                <w:rFonts w:cstheme="minorHAnsi"/>
                <w:szCs w:val="24"/>
              </w:rPr>
              <w:t>%</w:t>
            </w:r>
          </w:p>
        </w:tc>
      </w:tr>
      <w:tr w:rsidR="000F0378" w:rsidRPr="000F0378" w14:paraId="0CD1E712" w14:textId="77777777" w:rsidTr="00A96DA2">
        <w:trPr>
          <w:trHeight w:val="275"/>
        </w:trPr>
        <w:tc>
          <w:tcPr>
            <w:tcW w:w="4827" w:type="dxa"/>
            <w:shd w:val="clear" w:color="auto" w:fill="C8CAE7" w:themeFill="text2" w:themeFillTint="33"/>
          </w:tcPr>
          <w:p w14:paraId="628DCF63" w14:textId="77777777" w:rsidR="000F0378" w:rsidRPr="000F0378" w:rsidRDefault="000F0378" w:rsidP="00A96DA2">
            <w:pPr>
              <w:rPr>
                <w:rFonts w:cstheme="minorHAnsi"/>
                <w:b/>
                <w:szCs w:val="24"/>
              </w:rPr>
            </w:pPr>
            <w:r w:rsidRPr="000F0378">
              <w:rPr>
                <w:rFonts w:cstheme="minorHAnsi"/>
                <w:b/>
                <w:szCs w:val="24"/>
              </w:rPr>
              <w:t xml:space="preserve">     Black</w:t>
            </w:r>
          </w:p>
        </w:tc>
        <w:tc>
          <w:tcPr>
            <w:tcW w:w="854" w:type="dxa"/>
            <w:shd w:val="clear" w:color="auto" w:fill="C8CAE7" w:themeFill="text2" w:themeFillTint="33"/>
          </w:tcPr>
          <w:p w14:paraId="755A027F" w14:textId="77777777" w:rsidR="000F0378" w:rsidRPr="000F0378" w:rsidRDefault="000F0378" w:rsidP="00A96DA2">
            <w:pPr>
              <w:rPr>
                <w:rFonts w:cstheme="minorHAnsi"/>
                <w:szCs w:val="24"/>
              </w:rPr>
            </w:pPr>
            <w:r w:rsidRPr="000F0378">
              <w:rPr>
                <w:rFonts w:cstheme="minorHAnsi"/>
                <w:szCs w:val="24"/>
              </w:rPr>
              <w:t>477</w:t>
            </w:r>
          </w:p>
        </w:tc>
        <w:tc>
          <w:tcPr>
            <w:tcW w:w="897" w:type="dxa"/>
            <w:shd w:val="clear" w:color="auto" w:fill="C8CAE7" w:themeFill="text2" w:themeFillTint="33"/>
          </w:tcPr>
          <w:p w14:paraId="191EB3CE" w14:textId="77777777" w:rsidR="000F0378" w:rsidRPr="000F0378" w:rsidRDefault="000F0378" w:rsidP="00A96DA2">
            <w:pPr>
              <w:rPr>
                <w:rFonts w:cstheme="minorHAnsi"/>
                <w:szCs w:val="24"/>
              </w:rPr>
            </w:pPr>
            <w:r w:rsidRPr="000F0378">
              <w:rPr>
                <w:rFonts w:cstheme="minorHAnsi"/>
                <w:szCs w:val="24"/>
              </w:rPr>
              <w:t>35.81</w:t>
            </w:r>
          </w:p>
        </w:tc>
        <w:tc>
          <w:tcPr>
            <w:tcW w:w="798" w:type="dxa"/>
            <w:shd w:val="clear" w:color="auto" w:fill="C8CAE7" w:themeFill="text2" w:themeFillTint="33"/>
          </w:tcPr>
          <w:p w14:paraId="49E4AE71" w14:textId="77777777" w:rsidR="000F0378" w:rsidRPr="000F0378" w:rsidRDefault="000F0378" w:rsidP="00A96DA2">
            <w:pPr>
              <w:rPr>
                <w:rFonts w:cstheme="minorHAnsi"/>
                <w:szCs w:val="24"/>
              </w:rPr>
            </w:pPr>
            <w:r w:rsidRPr="000F0378">
              <w:rPr>
                <w:rFonts w:cstheme="minorHAnsi"/>
                <w:szCs w:val="24"/>
              </w:rPr>
              <w:t>392</w:t>
            </w:r>
          </w:p>
        </w:tc>
        <w:tc>
          <w:tcPr>
            <w:tcW w:w="798" w:type="dxa"/>
            <w:shd w:val="clear" w:color="auto" w:fill="C8CAE7" w:themeFill="text2" w:themeFillTint="33"/>
          </w:tcPr>
          <w:p w14:paraId="6504FF43" w14:textId="77777777" w:rsidR="000F0378" w:rsidRPr="000F0378" w:rsidRDefault="000F0378" w:rsidP="00A96DA2">
            <w:pPr>
              <w:rPr>
                <w:rFonts w:cstheme="minorHAnsi"/>
                <w:szCs w:val="24"/>
              </w:rPr>
            </w:pPr>
            <w:r w:rsidRPr="000F0378">
              <w:rPr>
                <w:rFonts w:cstheme="minorHAnsi"/>
                <w:szCs w:val="24"/>
              </w:rPr>
              <w:t>29.90</w:t>
            </w:r>
          </w:p>
        </w:tc>
        <w:tc>
          <w:tcPr>
            <w:tcW w:w="798" w:type="dxa"/>
            <w:shd w:val="clear" w:color="auto" w:fill="C8CAE7" w:themeFill="text2" w:themeFillTint="33"/>
          </w:tcPr>
          <w:p w14:paraId="0BC1A1DB" w14:textId="77777777" w:rsidR="000F0378" w:rsidRPr="000F0378" w:rsidRDefault="000F0378" w:rsidP="00A96DA2">
            <w:pPr>
              <w:rPr>
                <w:rFonts w:cstheme="minorHAnsi"/>
                <w:szCs w:val="24"/>
              </w:rPr>
            </w:pPr>
            <w:r w:rsidRPr="000F0378">
              <w:rPr>
                <w:rFonts w:cstheme="minorHAnsi"/>
                <w:szCs w:val="24"/>
              </w:rPr>
              <w:t>123</w:t>
            </w:r>
          </w:p>
        </w:tc>
        <w:tc>
          <w:tcPr>
            <w:tcW w:w="898" w:type="dxa"/>
            <w:shd w:val="clear" w:color="auto" w:fill="C8CAE7" w:themeFill="text2" w:themeFillTint="33"/>
          </w:tcPr>
          <w:p w14:paraId="1E6B1358" w14:textId="77777777" w:rsidR="000F0378" w:rsidRPr="000F0378" w:rsidRDefault="000F0378" w:rsidP="00A96DA2">
            <w:pPr>
              <w:rPr>
                <w:rFonts w:cstheme="minorHAnsi"/>
                <w:szCs w:val="24"/>
              </w:rPr>
            </w:pPr>
            <w:r w:rsidRPr="000F0378">
              <w:rPr>
                <w:rFonts w:cstheme="minorHAnsi"/>
                <w:szCs w:val="24"/>
              </w:rPr>
              <w:t>18.69</w:t>
            </w:r>
          </w:p>
        </w:tc>
      </w:tr>
      <w:tr w:rsidR="000F0378" w:rsidRPr="000F0378" w14:paraId="53726FCC" w14:textId="77777777" w:rsidTr="00A96DA2">
        <w:trPr>
          <w:trHeight w:val="275"/>
        </w:trPr>
        <w:tc>
          <w:tcPr>
            <w:tcW w:w="4827" w:type="dxa"/>
          </w:tcPr>
          <w:p w14:paraId="6B9A57AE" w14:textId="77777777" w:rsidR="000F0378" w:rsidRPr="000F0378" w:rsidRDefault="000F0378" w:rsidP="00A96DA2">
            <w:pPr>
              <w:rPr>
                <w:rFonts w:cstheme="minorHAnsi"/>
                <w:b/>
                <w:szCs w:val="24"/>
              </w:rPr>
            </w:pPr>
            <w:r w:rsidRPr="000F0378">
              <w:rPr>
                <w:rFonts w:cstheme="minorHAnsi"/>
                <w:b/>
                <w:szCs w:val="24"/>
              </w:rPr>
              <w:t xml:space="preserve">     Latino</w:t>
            </w:r>
          </w:p>
        </w:tc>
        <w:tc>
          <w:tcPr>
            <w:tcW w:w="854" w:type="dxa"/>
          </w:tcPr>
          <w:p w14:paraId="1B22AC9E" w14:textId="77777777" w:rsidR="000F0378" w:rsidRPr="000F0378" w:rsidRDefault="000F0378" w:rsidP="00A96DA2">
            <w:pPr>
              <w:rPr>
                <w:rFonts w:cstheme="minorHAnsi"/>
                <w:szCs w:val="24"/>
              </w:rPr>
            </w:pPr>
            <w:r w:rsidRPr="000F0378">
              <w:rPr>
                <w:rFonts w:cstheme="minorHAnsi"/>
                <w:szCs w:val="24"/>
              </w:rPr>
              <w:t>293</w:t>
            </w:r>
          </w:p>
        </w:tc>
        <w:tc>
          <w:tcPr>
            <w:tcW w:w="897" w:type="dxa"/>
          </w:tcPr>
          <w:p w14:paraId="1C44ED5C" w14:textId="77777777" w:rsidR="000F0378" w:rsidRPr="000F0378" w:rsidRDefault="000F0378" w:rsidP="00A96DA2">
            <w:pPr>
              <w:rPr>
                <w:rFonts w:cstheme="minorHAnsi"/>
                <w:szCs w:val="24"/>
              </w:rPr>
            </w:pPr>
            <w:r w:rsidRPr="000F0378">
              <w:rPr>
                <w:rFonts w:cstheme="minorHAnsi"/>
                <w:szCs w:val="24"/>
              </w:rPr>
              <w:t>22.00</w:t>
            </w:r>
          </w:p>
        </w:tc>
        <w:tc>
          <w:tcPr>
            <w:tcW w:w="798" w:type="dxa"/>
          </w:tcPr>
          <w:p w14:paraId="1B52B299" w14:textId="77777777" w:rsidR="000F0378" w:rsidRPr="000F0378" w:rsidRDefault="000F0378" w:rsidP="00A96DA2">
            <w:pPr>
              <w:rPr>
                <w:rFonts w:cstheme="minorHAnsi"/>
                <w:szCs w:val="24"/>
              </w:rPr>
            </w:pPr>
            <w:r w:rsidRPr="000F0378">
              <w:rPr>
                <w:rFonts w:cstheme="minorHAnsi"/>
                <w:szCs w:val="24"/>
              </w:rPr>
              <w:t>168</w:t>
            </w:r>
          </w:p>
        </w:tc>
        <w:tc>
          <w:tcPr>
            <w:tcW w:w="798" w:type="dxa"/>
          </w:tcPr>
          <w:p w14:paraId="4E9A58B2" w14:textId="77777777" w:rsidR="000F0378" w:rsidRPr="000F0378" w:rsidRDefault="000F0378" w:rsidP="00A96DA2">
            <w:pPr>
              <w:rPr>
                <w:rFonts w:cstheme="minorHAnsi"/>
                <w:szCs w:val="24"/>
              </w:rPr>
            </w:pPr>
            <w:r w:rsidRPr="000F0378">
              <w:rPr>
                <w:rFonts w:cstheme="minorHAnsi"/>
                <w:szCs w:val="24"/>
              </w:rPr>
              <w:t>12.81</w:t>
            </w:r>
          </w:p>
        </w:tc>
        <w:tc>
          <w:tcPr>
            <w:tcW w:w="798" w:type="dxa"/>
          </w:tcPr>
          <w:p w14:paraId="12497896" w14:textId="77777777" w:rsidR="000F0378" w:rsidRPr="000F0378" w:rsidRDefault="000F0378" w:rsidP="00A96DA2">
            <w:pPr>
              <w:rPr>
                <w:rFonts w:cstheme="minorHAnsi"/>
                <w:szCs w:val="24"/>
              </w:rPr>
            </w:pPr>
            <w:r w:rsidRPr="000F0378">
              <w:rPr>
                <w:rFonts w:cstheme="minorHAnsi"/>
                <w:szCs w:val="24"/>
              </w:rPr>
              <w:t>8</w:t>
            </w:r>
          </w:p>
        </w:tc>
        <w:tc>
          <w:tcPr>
            <w:tcW w:w="898" w:type="dxa"/>
          </w:tcPr>
          <w:p w14:paraId="27A3D6C1" w14:textId="77777777" w:rsidR="000F0378" w:rsidRPr="000F0378" w:rsidRDefault="000F0378" w:rsidP="00A96DA2">
            <w:pPr>
              <w:rPr>
                <w:rFonts w:cstheme="minorHAnsi"/>
                <w:szCs w:val="24"/>
              </w:rPr>
            </w:pPr>
            <w:r w:rsidRPr="000F0378">
              <w:rPr>
                <w:rFonts w:cstheme="minorHAnsi"/>
                <w:szCs w:val="24"/>
              </w:rPr>
              <w:t>1.21</w:t>
            </w:r>
          </w:p>
        </w:tc>
      </w:tr>
      <w:tr w:rsidR="000F0378" w:rsidRPr="000F0378" w14:paraId="5A9C2943" w14:textId="77777777" w:rsidTr="00A96DA2">
        <w:trPr>
          <w:trHeight w:val="275"/>
        </w:trPr>
        <w:tc>
          <w:tcPr>
            <w:tcW w:w="4827" w:type="dxa"/>
            <w:shd w:val="clear" w:color="auto" w:fill="EBE8EC" w:themeFill="accent6" w:themeFillTint="33"/>
          </w:tcPr>
          <w:p w14:paraId="6837BC19" w14:textId="77777777" w:rsidR="000F0378" w:rsidRPr="000F0378" w:rsidRDefault="000F0378" w:rsidP="00A96DA2">
            <w:pPr>
              <w:rPr>
                <w:rFonts w:cstheme="minorHAnsi"/>
                <w:b/>
                <w:szCs w:val="24"/>
              </w:rPr>
            </w:pPr>
            <w:r w:rsidRPr="000F0378">
              <w:rPr>
                <w:rFonts w:cstheme="minorHAnsi"/>
                <w:b/>
                <w:szCs w:val="24"/>
              </w:rPr>
              <w:t xml:space="preserve">     White</w:t>
            </w:r>
          </w:p>
        </w:tc>
        <w:tc>
          <w:tcPr>
            <w:tcW w:w="854" w:type="dxa"/>
            <w:shd w:val="clear" w:color="auto" w:fill="EBE8EC" w:themeFill="accent6" w:themeFillTint="33"/>
          </w:tcPr>
          <w:p w14:paraId="3D3806DD" w14:textId="77777777" w:rsidR="000F0378" w:rsidRPr="000F0378" w:rsidRDefault="000F0378" w:rsidP="00A96DA2">
            <w:pPr>
              <w:rPr>
                <w:rFonts w:cstheme="minorHAnsi"/>
                <w:szCs w:val="24"/>
              </w:rPr>
            </w:pPr>
            <w:r w:rsidRPr="000F0378">
              <w:rPr>
                <w:rFonts w:cstheme="minorHAnsi"/>
                <w:szCs w:val="24"/>
              </w:rPr>
              <w:t>526</w:t>
            </w:r>
          </w:p>
        </w:tc>
        <w:tc>
          <w:tcPr>
            <w:tcW w:w="897" w:type="dxa"/>
            <w:shd w:val="clear" w:color="auto" w:fill="EBE8EC" w:themeFill="accent6" w:themeFillTint="33"/>
          </w:tcPr>
          <w:p w14:paraId="296C28D3" w14:textId="77777777" w:rsidR="000F0378" w:rsidRPr="000F0378" w:rsidRDefault="000F0378" w:rsidP="00A96DA2">
            <w:pPr>
              <w:rPr>
                <w:rFonts w:cstheme="minorHAnsi"/>
                <w:szCs w:val="24"/>
              </w:rPr>
            </w:pPr>
            <w:r w:rsidRPr="000F0378">
              <w:rPr>
                <w:rFonts w:cstheme="minorHAnsi"/>
                <w:szCs w:val="24"/>
              </w:rPr>
              <w:t>39.49</w:t>
            </w:r>
          </w:p>
        </w:tc>
        <w:tc>
          <w:tcPr>
            <w:tcW w:w="798" w:type="dxa"/>
            <w:shd w:val="clear" w:color="auto" w:fill="EBE8EC" w:themeFill="accent6" w:themeFillTint="33"/>
          </w:tcPr>
          <w:p w14:paraId="3566E6A4" w14:textId="77777777" w:rsidR="000F0378" w:rsidRPr="000F0378" w:rsidRDefault="000F0378" w:rsidP="00A96DA2">
            <w:pPr>
              <w:rPr>
                <w:rFonts w:cstheme="minorHAnsi"/>
                <w:szCs w:val="24"/>
              </w:rPr>
            </w:pPr>
            <w:r w:rsidRPr="000F0378">
              <w:rPr>
                <w:rFonts w:cstheme="minorHAnsi"/>
                <w:szCs w:val="24"/>
              </w:rPr>
              <w:t>645</w:t>
            </w:r>
          </w:p>
        </w:tc>
        <w:tc>
          <w:tcPr>
            <w:tcW w:w="798" w:type="dxa"/>
            <w:shd w:val="clear" w:color="auto" w:fill="EBE8EC" w:themeFill="accent6" w:themeFillTint="33"/>
          </w:tcPr>
          <w:p w14:paraId="47AB0010" w14:textId="77777777" w:rsidR="000F0378" w:rsidRPr="000F0378" w:rsidRDefault="000F0378" w:rsidP="00A96DA2">
            <w:pPr>
              <w:rPr>
                <w:rFonts w:cstheme="minorHAnsi"/>
                <w:szCs w:val="24"/>
              </w:rPr>
            </w:pPr>
            <w:r w:rsidRPr="000F0378">
              <w:rPr>
                <w:rFonts w:cstheme="minorHAnsi"/>
                <w:szCs w:val="24"/>
              </w:rPr>
              <w:t>49.20</w:t>
            </w:r>
          </w:p>
        </w:tc>
        <w:tc>
          <w:tcPr>
            <w:tcW w:w="798" w:type="dxa"/>
            <w:shd w:val="clear" w:color="auto" w:fill="EBE8EC" w:themeFill="accent6" w:themeFillTint="33"/>
          </w:tcPr>
          <w:p w14:paraId="062E4187" w14:textId="77777777" w:rsidR="000F0378" w:rsidRPr="000F0378" w:rsidRDefault="000F0378" w:rsidP="00A96DA2">
            <w:pPr>
              <w:rPr>
                <w:rFonts w:cstheme="minorHAnsi"/>
                <w:szCs w:val="24"/>
              </w:rPr>
            </w:pPr>
            <w:r w:rsidRPr="000F0378">
              <w:rPr>
                <w:rFonts w:cstheme="minorHAnsi"/>
                <w:szCs w:val="24"/>
              </w:rPr>
              <w:t>527</w:t>
            </w:r>
          </w:p>
        </w:tc>
        <w:tc>
          <w:tcPr>
            <w:tcW w:w="898" w:type="dxa"/>
            <w:shd w:val="clear" w:color="auto" w:fill="EBE8EC" w:themeFill="accent6" w:themeFillTint="33"/>
          </w:tcPr>
          <w:p w14:paraId="3794981C" w14:textId="77777777" w:rsidR="000F0378" w:rsidRPr="000F0378" w:rsidRDefault="000F0378" w:rsidP="00A96DA2">
            <w:pPr>
              <w:rPr>
                <w:rFonts w:cstheme="minorHAnsi"/>
                <w:szCs w:val="24"/>
              </w:rPr>
            </w:pPr>
            <w:r w:rsidRPr="000F0378">
              <w:rPr>
                <w:rFonts w:cstheme="minorHAnsi"/>
                <w:szCs w:val="24"/>
              </w:rPr>
              <w:t>80.09</w:t>
            </w:r>
          </w:p>
        </w:tc>
      </w:tr>
      <w:tr w:rsidR="000F0378" w:rsidRPr="000F0378" w14:paraId="4C329C7C" w14:textId="77777777" w:rsidTr="00A96DA2">
        <w:trPr>
          <w:trHeight w:val="298"/>
        </w:trPr>
        <w:tc>
          <w:tcPr>
            <w:tcW w:w="4827" w:type="dxa"/>
          </w:tcPr>
          <w:p w14:paraId="33E7C6EF" w14:textId="77777777" w:rsidR="000F0378" w:rsidRPr="000F0378" w:rsidRDefault="000F0378" w:rsidP="00A96DA2">
            <w:pPr>
              <w:rPr>
                <w:rFonts w:cstheme="minorHAnsi"/>
                <w:b/>
                <w:szCs w:val="24"/>
              </w:rPr>
            </w:pPr>
            <w:r w:rsidRPr="000F0378">
              <w:rPr>
                <w:rFonts w:cstheme="minorHAnsi"/>
                <w:b/>
                <w:szCs w:val="24"/>
              </w:rPr>
              <w:t>Total</w:t>
            </w:r>
          </w:p>
        </w:tc>
        <w:tc>
          <w:tcPr>
            <w:tcW w:w="854" w:type="dxa"/>
          </w:tcPr>
          <w:p w14:paraId="5DC77F43" w14:textId="77777777" w:rsidR="000F0378" w:rsidRPr="000F0378" w:rsidRDefault="000F0378" w:rsidP="00A96DA2">
            <w:pPr>
              <w:rPr>
                <w:rFonts w:cstheme="minorHAnsi"/>
                <w:b/>
                <w:szCs w:val="24"/>
              </w:rPr>
            </w:pPr>
            <w:r w:rsidRPr="000F0378">
              <w:rPr>
                <w:rFonts w:cstheme="minorHAnsi"/>
                <w:b/>
                <w:szCs w:val="24"/>
              </w:rPr>
              <w:t>1296</w:t>
            </w:r>
          </w:p>
        </w:tc>
        <w:tc>
          <w:tcPr>
            <w:tcW w:w="897" w:type="dxa"/>
          </w:tcPr>
          <w:p w14:paraId="496A0F45" w14:textId="77777777" w:rsidR="000F0378" w:rsidRPr="000F0378" w:rsidRDefault="000F0378" w:rsidP="00A96DA2">
            <w:pPr>
              <w:rPr>
                <w:rFonts w:cstheme="minorHAnsi"/>
                <w:b/>
                <w:szCs w:val="24"/>
              </w:rPr>
            </w:pPr>
            <w:r w:rsidRPr="000F0378">
              <w:rPr>
                <w:rFonts w:cstheme="minorHAnsi"/>
                <w:b/>
                <w:szCs w:val="24"/>
              </w:rPr>
              <w:t>33.50</w:t>
            </w:r>
          </w:p>
        </w:tc>
        <w:tc>
          <w:tcPr>
            <w:tcW w:w="798" w:type="dxa"/>
          </w:tcPr>
          <w:p w14:paraId="04D8B36B" w14:textId="77777777" w:rsidR="000F0378" w:rsidRPr="000F0378" w:rsidRDefault="000F0378" w:rsidP="00A96DA2">
            <w:pPr>
              <w:rPr>
                <w:rFonts w:cstheme="minorHAnsi"/>
                <w:b/>
                <w:szCs w:val="24"/>
              </w:rPr>
            </w:pPr>
            <w:r w:rsidRPr="000F0378">
              <w:rPr>
                <w:rFonts w:cstheme="minorHAnsi"/>
                <w:b/>
                <w:szCs w:val="24"/>
              </w:rPr>
              <w:t>1205</w:t>
            </w:r>
          </w:p>
        </w:tc>
        <w:tc>
          <w:tcPr>
            <w:tcW w:w="798" w:type="dxa"/>
          </w:tcPr>
          <w:p w14:paraId="0867D230" w14:textId="77777777" w:rsidR="000F0378" w:rsidRPr="000F0378" w:rsidRDefault="000F0378" w:rsidP="00A96DA2">
            <w:pPr>
              <w:rPr>
                <w:rFonts w:cstheme="minorHAnsi"/>
                <w:b/>
                <w:szCs w:val="24"/>
              </w:rPr>
            </w:pPr>
            <w:r w:rsidRPr="000F0378">
              <w:rPr>
                <w:rFonts w:cstheme="minorHAnsi"/>
                <w:b/>
                <w:szCs w:val="24"/>
              </w:rPr>
              <w:t>44.33</w:t>
            </w:r>
          </w:p>
        </w:tc>
        <w:tc>
          <w:tcPr>
            <w:tcW w:w="798" w:type="dxa"/>
          </w:tcPr>
          <w:p w14:paraId="11F72567" w14:textId="77777777" w:rsidR="000F0378" w:rsidRPr="000F0378" w:rsidRDefault="000F0378" w:rsidP="00A96DA2">
            <w:pPr>
              <w:rPr>
                <w:rFonts w:cstheme="minorHAnsi"/>
                <w:b/>
                <w:szCs w:val="24"/>
              </w:rPr>
            </w:pPr>
            <w:r w:rsidRPr="000F0378">
              <w:rPr>
                <w:rFonts w:cstheme="minorHAnsi"/>
                <w:b/>
                <w:szCs w:val="24"/>
              </w:rPr>
              <w:t>658</w:t>
            </w:r>
          </w:p>
        </w:tc>
        <w:tc>
          <w:tcPr>
            <w:tcW w:w="898" w:type="dxa"/>
          </w:tcPr>
          <w:p w14:paraId="5162891A" w14:textId="77777777" w:rsidR="000F0378" w:rsidRPr="000F0378" w:rsidRDefault="000F0378" w:rsidP="00A96DA2">
            <w:pPr>
              <w:rPr>
                <w:rFonts w:cstheme="minorHAnsi"/>
                <w:b/>
                <w:szCs w:val="24"/>
              </w:rPr>
            </w:pPr>
            <w:r w:rsidRPr="000F0378">
              <w:rPr>
                <w:rFonts w:cstheme="minorHAnsi"/>
                <w:b/>
                <w:szCs w:val="24"/>
              </w:rPr>
              <w:t>53.23</w:t>
            </w:r>
          </w:p>
        </w:tc>
      </w:tr>
      <w:tr w:rsidR="000F0378" w:rsidRPr="000F0378" w14:paraId="0B047F09" w14:textId="77777777" w:rsidTr="00A96DA2">
        <w:trPr>
          <w:trHeight w:val="275"/>
        </w:trPr>
        <w:tc>
          <w:tcPr>
            <w:tcW w:w="4827" w:type="dxa"/>
          </w:tcPr>
          <w:p w14:paraId="4CAA2C6B" w14:textId="77777777" w:rsidR="000F0378" w:rsidRPr="000F0378" w:rsidRDefault="000F0378" w:rsidP="00A96DA2">
            <w:pPr>
              <w:rPr>
                <w:rFonts w:cstheme="minorHAnsi"/>
                <w:b/>
                <w:szCs w:val="24"/>
              </w:rPr>
            </w:pPr>
            <w:r w:rsidRPr="000F0378">
              <w:rPr>
                <w:rFonts w:cstheme="minorHAnsi"/>
                <w:b/>
                <w:szCs w:val="24"/>
              </w:rPr>
              <w:t xml:space="preserve">Paraprofessionals/Administrative Support </w:t>
            </w:r>
          </w:p>
        </w:tc>
        <w:tc>
          <w:tcPr>
            <w:tcW w:w="854" w:type="dxa"/>
          </w:tcPr>
          <w:p w14:paraId="3776E9E0" w14:textId="77777777" w:rsidR="000F0378" w:rsidRPr="000F0378" w:rsidRDefault="000F0378" w:rsidP="00A96DA2">
            <w:pPr>
              <w:rPr>
                <w:rFonts w:cstheme="minorHAnsi"/>
                <w:szCs w:val="24"/>
              </w:rPr>
            </w:pPr>
            <w:r w:rsidRPr="000F0378">
              <w:rPr>
                <w:rFonts w:cstheme="minorHAnsi"/>
                <w:szCs w:val="24"/>
              </w:rPr>
              <w:t>#</w:t>
            </w:r>
          </w:p>
        </w:tc>
        <w:tc>
          <w:tcPr>
            <w:tcW w:w="897" w:type="dxa"/>
          </w:tcPr>
          <w:p w14:paraId="67F70A84"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0B5B697C"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4CEA735E" w14:textId="77777777" w:rsidR="000F0378" w:rsidRPr="000F0378" w:rsidRDefault="000F0378" w:rsidP="00A96DA2">
            <w:pPr>
              <w:rPr>
                <w:rFonts w:cstheme="minorHAnsi"/>
                <w:szCs w:val="24"/>
              </w:rPr>
            </w:pPr>
            <w:r w:rsidRPr="000F0378">
              <w:rPr>
                <w:rFonts w:cstheme="minorHAnsi"/>
                <w:szCs w:val="24"/>
              </w:rPr>
              <w:t>%</w:t>
            </w:r>
          </w:p>
        </w:tc>
        <w:tc>
          <w:tcPr>
            <w:tcW w:w="798" w:type="dxa"/>
          </w:tcPr>
          <w:p w14:paraId="5958B543" w14:textId="77777777" w:rsidR="000F0378" w:rsidRPr="000F0378" w:rsidRDefault="000F0378" w:rsidP="00A96DA2">
            <w:pPr>
              <w:rPr>
                <w:rFonts w:cstheme="minorHAnsi"/>
                <w:szCs w:val="24"/>
              </w:rPr>
            </w:pPr>
            <w:r w:rsidRPr="000F0378">
              <w:rPr>
                <w:rFonts w:cstheme="minorHAnsi"/>
                <w:szCs w:val="24"/>
              </w:rPr>
              <w:t>#</w:t>
            </w:r>
          </w:p>
        </w:tc>
        <w:tc>
          <w:tcPr>
            <w:tcW w:w="898" w:type="dxa"/>
          </w:tcPr>
          <w:p w14:paraId="3B2EBC8F" w14:textId="77777777" w:rsidR="000F0378" w:rsidRPr="000F0378" w:rsidRDefault="000F0378" w:rsidP="00A96DA2">
            <w:pPr>
              <w:rPr>
                <w:rFonts w:cstheme="minorHAnsi"/>
                <w:szCs w:val="24"/>
              </w:rPr>
            </w:pPr>
            <w:r w:rsidRPr="000F0378">
              <w:rPr>
                <w:rFonts w:cstheme="minorHAnsi"/>
                <w:szCs w:val="24"/>
              </w:rPr>
              <w:t>%</w:t>
            </w:r>
          </w:p>
        </w:tc>
      </w:tr>
      <w:tr w:rsidR="000F0378" w:rsidRPr="000F0378" w14:paraId="33538077" w14:textId="77777777" w:rsidTr="00A96DA2">
        <w:trPr>
          <w:trHeight w:val="275"/>
        </w:trPr>
        <w:tc>
          <w:tcPr>
            <w:tcW w:w="4827" w:type="dxa"/>
            <w:shd w:val="clear" w:color="auto" w:fill="C8CAE7" w:themeFill="text2" w:themeFillTint="33"/>
          </w:tcPr>
          <w:p w14:paraId="468A41E1" w14:textId="77777777" w:rsidR="000F0378" w:rsidRPr="000F0378" w:rsidRDefault="000F0378" w:rsidP="00A96DA2">
            <w:pPr>
              <w:rPr>
                <w:rFonts w:cstheme="minorHAnsi"/>
                <w:b/>
                <w:szCs w:val="24"/>
              </w:rPr>
            </w:pPr>
            <w:r w:rsidRPr="000F0378">
              <w:rPr>
                <w:rFonts w:cstheme="minorHAnsi"/>
                <w:b/>
                <w:szCs w:val="24"/>
              </w:rPr>
              <w:t xml:space="preserve">     Black</w:t>
            </w:r>
          </w:p>
        </w:tc>
        <w:tc>
          <w:tcPr>
            <w:tcW w:w="854" w:type="dxa"/>
            <w:shd w:val="clear" w:color="auto" w:fill="C8CAE7" w:themeFill="text2" w:themeFillTint="33"/>
          </w:tcPr>
          <w:p w14:paraId="410E24C3" w14:textId="77777777" w:rsidR="000F0378" w:rsidRPr="000F0378" w:rsidRDefault="000F0378" w:rsidP="00A96DA2">
            <w:pPr>
              <w:rPr>
                <w:rFonts w:cstheme="minorHAnsi"/>
                <w:szCs w:val="24"/>
              </w:rPr>
            </w:pPr>
            <w:r w:rsidRPr="000F0378">
              <w:rPr>
                <w:rFonts w:cstheme="minorHAnsi"/>
                <w:szCs w:val="24"/>
              </w:rPr>
              <w:t>824</w:t>
            </w:r>
          </w:p>
        </w:tc>
        <w:tc>
          <w:tcPr>
            <w:tcW w:w="897" w:type="dxa"/>
            <w:shd w:val="clear" w:color="auto" w:fill="C8CAE7" w:themeFill="text2" w:themeFillTint="33"/>
          </w:tcPr>
          <w:p w14:paraId="56A52661" w14:textId="77777777" w:rsidR="000F0378" w:rsidRPr="000F0378" w:rsidRDefault="000F0378" w:rsidP="00A96DA2">
            <w:pPr>
              <w:rPr>
                <w:rFonts w:cstheme="minorHAnsi"/>
                <w:szCs w:val="24"/>
              </w:rPr>
            </w:pPr>
            <w:r w:rsidRPr="000F0378">
              <w:rPr>
                <w:rFonts w:cstheme="minorHAnsi"/>
                <w:szCs w:val="24"/>
              </w:rPr>
              <w:t>45.62</w:t>
            </w:r>
          </w:p>
        </w:tc>
        <w:tc>
          <w:tcPr>
            <w:tcW w:w="798" w:type="dxa"/>
            <w:shd w:val="clear" w:color="auto" w:fill="C8CAE7" w:themeFill="text2" w:themeFillTint="33"/>
          </w:tcPr>
          <w:p w14:paraId="18BE3367" w14:textId="77777777" w:rsidR="000F0378" w:rsidRPr="000F0378" w:rsidRDefault="000F0378" w:rsidP="00A96DA2">
            <w:pPr>
              <w:rPr>
                <w:rFonts w:cstheme="minorHAnsi"/>
                <w:szCs w:val="24"/>
              </w:rPr>
            </w:pPr>
            <w:r w:rsidRPr="000F0378">
              <w:rPr>
                <w:rFonts w:cstheme="minorHAnsi"/>
                <w:szCs w:val="24"/>
              </w:rPr>
              <w:t>378</w:t>
            </w:r>
          </w:p>
        </w:tc>
        <w:tc>
          <w:tcPr>
            <w:tcW w:w="798" w:type="dxa"/>
            <w:shd w:val="clear" w:color="auto" w:fill="C8CAE7" w:themeFill="text2" w:themeFillTint="33"/>
          </w:tcPr>
          <w:p w14:paraId="53C6B9ED" w14:textId="77777777" w:rsidR="000F0378" w:rsidRPr="000F0378" w:rsidRDefault="000F0378" w:rsidP="00A96DA2">
            <w:pPr>
              <w:rPr>
                <w:rFonts w:cstheme="minorHAnsi"/>
                <w:szCs w:val="24"/>
              </w:rPr>
            </w:pPr>
            <w:r w:rsidRPr="000F0378">
              <w:rPr>
                <w:rFonts w:cstheme="minorHAnsi"/>
                <w:szCs w:val="24"/>
              </w:rPr>
              <w:t>46.26</w:t>
            </w:r>
          </w:p>
        </w:tc>
        <w:tc>
          <w:tcPr>
            <w:tcW w:w="798" w:type="dxa"/>
            <w:shd w:val="clear" w:color="auto" w:fill="C8CAE7" w:themeFill="text2" w:themeFillTint="33"/>
          </w:tcPr>
          <w:p w14:paraId="09D7AC31" w14:textId="77777777" w:rsidR="000F0378" w:rsidRPr="000F0378" w:rsidRDefault="000F0378" w:rsidP="00A96DA2">
            <w:pPr>
              <w:rPr>
                <w:rFonts w:cstheme="minorHAnsi"/>
                <w:szCs w:val="24"/>
              </w:rPr>
            </w:pPr>
            <w:r w:rsidRPr="000F0378">
              <w:rPr>
                <w:rFonts w:cstheme="minorHAnsi"/>
                <w:szCs w:val="24"/>
              </w:rPr>
              <w:t>99</w:t>
            </w:r>
          </w:p>
        </w:tc>
        <w:tc>
          <w:tcPr>
            <w:tcW w:w="898" w:type="dxa"/>
            <w:shd w:val="clear" w:color="auto" w:fill="C8CAE7" w:themeFill="text2" w:themeFillTint="33"/>
          </w:tcPr>
          <w:p w14:paraId="31F58747" w14:textId="77777777" w:rsidR="000F0378" w:rsidRPr="000F0378" w:rsidRDefault="000F0378" w:rsidP="00A96DA2">
            <w:pPr>
              <w:rPr>
                <w:rFonts w:cstheme="minorHAnsi"/>
                <w:szCs w:val="24"/>
              </w:rPr>
            </w:pPr>
            <w:r w:rsidRPr="000F0378">
              <w:rPr>
                <w:rFonts w:cstheme="minorHAnsi"/>
                <w:szCs w:val="24"/>
              </w:rPr>
              <w:t>26.75</w:t>
            </w:r>
          </w:p>
        </w:tc>
      </w:tr>
      <w:tr w:rsidR="000F0378" w:rsidRPr="000F0378" w14:paraId="764161B6" w14:textId="77777777" w:rsidTr="00A96DA2">
        <w:trPr>
          <w:trHeight w:val="275"/>
        </w:trPr>
        <w:tc>
          <w:tcPr>
            <w:tcW w:w="4827" w:type="dxa"/>
          </w:tcPr>
          <w:p w14:paraId="25742E9F" w14:textId="77777777" w:rsidR="000F0378" w:rsidRPr="000F0378" w:rsidRDefault="000F0378" w:rsidP="00A96DA2">
            <w:pPr>
              <w:rPr>
                <w:rFonts w:cstheme="minorHAnsi"/>
                <w:b/>
                <w:szCs w:val="24"/>
              </w:rPr>
            </w:pPr>
            <w:r w:rsidRPr="000F0378">
              <w:rPr>
                <w:rFonts w:cstheme="minorHAnsi"/>
                <w:b/>
                <w:szCs w:val="24"/>
              </w:rPr>
              <w:t xml:space="preserve">     Latino</w:t>
            </w:r>
          </w:p>
        </w:tc>
        <w:tc>
          <w:tcPr>
            <w:tcW w:w="854" w:type="dxa"/>
          </w:tcPr>
          <w:p w14:paraId="752D57FC" w14:textId="77777777" w:rsidR="000F0378" w:rsidRPr="000F0378" w:rsidRDefault="000F0378" w:rsidP="00A96DA2">
            <w:pPr>
              <w:rPr>
                <w:rFonts w:cstheme="minorHAnsi"/>
                <w:szCs w:val="24"/>
              </w:rPr>
            </w:pPr>
            <w:r w:rsidRPr="000F0378">
              <w:rPr>
                <w:rFonts w:cstheme="minorHAnsi"/>
                <w:szCs w:val="24"/>
              </w:rPr>
              <w:t>532</w:t>
            </w:r>
          </w:p>
        </w:tc>
        <w:tc>
          <w:tcPr>
            <w:tcW w:w="897" w:type="dxa"/>
          </w:tcPr>
          <w:p w14:paraId="679550A9" w14:textId="77777777" w:rsidR="000F0378" w:rsidRPr="000F0378" w:rsidRDefault="000F0378" w:rsidP="00A96DA2">
            <w:pPr>
              <w:rPr>
                <w:rFonts w:cstheme="minorHAnsi"/>
                <w:szCs w:val="24"/>
              </w:rPr>
            </w:pPr>
            <w:r w:rsidRPr="000F0378">
              <w:rPr>
                <w:rFonts w:cstheme="minorHAnsi"/>
                <w:szCs w:val="24"/>
              </w:rPr>
              <w:t>29.45</w:t>
            </w:r>
          </w:p>
        </w:tc>
        <w:tc>
          <w:tcPr>
            <w:tcW w:w="798" w:type="dxa"/>
          </w:tcPr>
          <w:p w14:paraId="664455CF" w14:textId="77777777" w:rsidR="000F0378" w:rsidRPr="000F0378" w:rsidRDefault="000F0378" w:rsidP="00A96DA2">
            <w:pPr>
              <w:rPr>
                <w:rFonts w:cstheme="minorHAnsi"/>
                <w:szCs w:val="24"/>
              </w:rPr>
            </w:pPr>
            <w:r w:rsidRPr="000F0378">
              <w:rPr>
                <w:rFonts w:cstheme="minorHAnsi"/>
                <w:szCs w:val="24"/>
              </w:rPr>
              <w:t>50</w:t>
            </w:r>
          </w:p>
        </w:tc>
        <w:tc>
          <w:tcPr>
            <w:tcW w:w="798" w:type="dxa"/>
          </w:tcPr>
          <w:p w14:paraId="669CCE0C" w14:textId="77777777" w:rsidR="000F0378" w:rsidRPr="000F0378" w:rsidRDefault="000F0378" w:rsidP="00A96DA2">
            <w:pPr>
              <w:rPr>
                <w:rFonts w:cstheme="minorHAnsi"/>
                <w:szCs w:val="24"/>
              </w:rPr>
            </w:pPr>
            <w:r w:rsidRPr="000F0378">
              <w:rPr>
                <w:rFonts w:cstheme="minorHAnsi"/>
                <w:szCs w:val="24"/>
              </w:rPr>
              <w:t>6.11</w:t>
            </w:r>
          </w:p>
        </w:tc>
        <w:tc>
          <w:tcPr>
            <w:tcW w:w="798" w:type="dxa"/>
          </w:tcPr>
          <w:p w14:paraId="2899991F" w14:textId="77777777" w:rsidR="000F0378" w:rsidRPr="000F0378" w:rsidRDefault="000F0378" w:rsidP="00A96DA2">
            <w:pPr>
              <w:rPr>
                <w:rFonts w:cstheme="minorHAnsi"/>
                <w:szCs w:val="24"/>
              </w:rPr>
            </w:pPr>
            <w:r w:rsidRPr="000F0378">
              <w:rPr>
                <w:rFonts w:cstheme="minorHAnsi"/>
                <w:szCs w:val="24"/>
              </w:rPr>
              <w:t>10</w:t>
            </w:r>
          </w:p>
        </w:tc>
        <w:tc>
          <w:tcPr>
            <w:tcW w:w="898" w:type="dxa"/>
          </w:tcPr>
          <w:p w14:paraId="27941048" w14:textId="77777777" w:rsidR="000F0378" w:rsidRPr="000F0378" w:rsidRDefault="000F0378" w:rsidP="00A96DA2">
            <w:pPr>
              <w:rPr>
                <w:rFonts w:cstheme="minorHAnsi"/>
                <w:szCs w:val="24"/>
              </w:rPr>
            </w:pPr>
            <w:r w:rsidRPr="000F0378">
              <w:rPr>
                <w:rFonts w:cstheme="minorHAnsi"/>
                <w:szCs w:val="24"/>
              </w:rPr>
              <w:t>2.70</w:t>
            </w:r>
          </w:p>
        </w:tc>
      </w:tr>
      <w:tr w:rsidR="000F0378" w:rsidRPr="000F0378" w14:paraId="6327DC1A" w14:textId="77777777" w:rsidTr="00A96DA2">
        <w:trPr>
          <w:trHeight w:val="275"/>
        </w:trPr>
        <w:tc>
          <w:tcPr>
            <w:tcW w:w="4827" w:type="dxa"/>
            <w:shd w:val="clear" w:color="auto" w:fill="EBE8EC" w:themeFill="accent6" w:themeFillTint="33"/>
          </w:tcPr>
          <w:p w14:paraId="454E6EDD" w14:textId="77777777" w:rsidR="000F0378" w:rsidRPr="000F0378" w:rsidRDefault="000F0378" w:rsidP="00A96DA2">
            <w:pPr>
              <w:rPr>
                <w:rFonts w:cstheme="minorHAnsi"/>
                <w:b/>
                <w:szCs w:val="24"/>
              </w:rPr>
            </w:pPr>
            <w:r w:rsidRPr="000F0378">
              <w:rPr>
                <w:rFonts w:cstheme="minorHAnsi"/>
                <w:b/>
                <w:szCs w:val="24"/>
              </w:rPr>
              <w:t xml:space="preserve">     White</w:t>
            </w:r>
          </w:p>
        </w:tc>
        <w:tc>
          <w:tcPr>
            <w:tcW w:w="854" w:type="dxa"/>
            <w:shd w:val="clear" w:color="auto" w:fill="EBE8EC" w:themeFill="accent6" w:themeFillTint="33"/>
          </w:tcPr>
          <w:p w14:paraId="6CFFF5EA" w14:textId="77777777" w:rsidR="000F0378" w:rsidRPr="000F0378" w:rsidRDefault="000F0378" w:rsidP="00A96DA2">
            <w:pPr>
              <w:rPr>
                <w:rFonts w:cstheme="minorHAnsi"/>
                <w:szCs w:val="24"/>
              </w:rPr>
            </w:pPr>
            <w:r w:rsidRPr="000F0378">
              <w:rPr>
                <w:rFonts w:cstheme="minorHAnsi"/>
                <w:szCs w:val="24"/>
              </w:rPr>
              <w:t>386</w:t>
            </w:r>
          </w:p>
        </w:tc>
        <w:tc>
          <w:tcPr>
            <w:tcW w:w="897" w:type="dxa"/>
            <w:shd w:val="clear" w:color="auto" w:fill="EBE8EC" w:themeFill="accent6" w:themeFillTint="33"/>
          </w:tcPr>
          <w:p w14:paraId="328A05D9" w14:textId="77777777" w:rsidR="000F0378" w:rsidRPr="000F0378" w:rsidRDefault="000F0378" w:rsidP="00A96DA2">
            <w:pPr>
              <w:rPr>
                <w:rFonts w:cstheme="minorHAnsi"/>
                <w:szCs w:val="24"/>
              </w:rPr>
            </w:pPr>
            <w:r w:rsidRPr="000F0378">
              <w:rPr>
                <w:rFonts w:cstheme="minorHAnsi"/>
                <w:szCs w:val="24"/>
              </w:rPr>
              <w:t>21.37</w:t>
            </w:r>
          </w:p>
        </w:tc>
        <w:tc>
          <w:tcPr>
            <w:tcW w:w="798" w:type="dxa"/>
            <w:shd w:val="clear" w:color="auto" w:fill="EBE8EC" w:themeFill="accent6" w:themeFillTint="33"/>
          </w:tcPr>
          <w:p w14:paraId="740F28C6" w14:textId="77777777" w:rsidR="000F0378" w:rsidRPr="000F0378" w:rsidRDefault="000F0378" w:rsidP="00A96DA2">
            <w:pPr>
              <w:rPr>
                <w:rFonts w:cstheme="minorHAnsi"/>
                <w:szCs w:val="24"/>
              </w:rPr>
            </w:pPr>
            <w:r w:rsidRPr="000F0378">
              <w:rPr>
                <w:rFonts w:cstheme="minorHAnsi"/>
                <w:szCs w:val="24"/>
              </w:rPr>
              <w:t>378</w:t>
            </w:r>
          </w:p>
        </w:tc>
        <w:tc>
          <w:tcPr>
            <w:tcW w:w="798" w:type="dxa"/>
            <w:shd w:val="clear" w:color="auto" w:fill="EBE8EC" w:themeFill="accent6" w:themeFillTint="33"/>
          </w:tcPr>
          <w:p w14:paraId="049C370F" w14:textId="77777777" w:rsidR="000F0378" w:rsidRPr="000F0378" w:rsidRDefault="000F0378" w:rsidP="00A96DA2">
            <w:pPr>
              <w:rPr>
                <w:rFonts w:cstheme="minorHAnsi"/>
                <w:szCs w:val="24"/>
              </w:rPr>
            </w:pPr>
            <w:r w:rsidRPr="000F0378">
              <w:rPr>
                <w:rFonts w:cstheme="minorHAnsi"/>
                <w:szCs w:val="24"/>
              </w:rPr>
              <w:t>46.26</w:t>
            </w:r>
          </w:p>
        </w:tc>
        <w:tc>
          <w:tcPr>
            <w:tcW w:w="798" w:type="dxa"/>
            <w:shd w:val="clear" w:color="auto" w:fill="EBE8EC" w:themeFill="accent6" w:themeFillTint="33"/>
          </w:tcPr>
          <w:p w14:paraId="77F8E920" w14:textId="77777777" w:rsidR="000F0378" w:rsidRPr="000F0378" w:rsidRDefault="000F0378" w:rsidP="00A96DA2">
            <w:pPr>
              <w:rPr>
                <w:rFonts w:cstheme="minorHAnsi"/>
                <w:szCs w:val="24"/>
              </w:rPr>
            </w:pPr>
            <w:r w:rsidRPr="000F0378">
              <w:rPr>
                <w:rFonts w:cstheme="minorHAnsi"/>
                <w:szCs w:val="24"/>
              </w:rPr>
              <w:t>261</w:t>
            </w:r>
          </w:p>
        </w:tc>
        <w:tc>
          <w:tcPr>
            <w:tcW w:w="898" w:type="dxa"/>
            <w:shd w:val="clear" w:color="auto" w:fill="EBE8EC" w:themeFill="accent6" w:themeFillTint="33"/>
          </w:tcPr>
          <w:p w14:paraId="2314770C" w14:textId="77777777" w:rsidR="000F0378" w:rsidRPr="000F0378" w:rsidRDefault="000F0378" w:rsidP="00A96DA2">
            <w:pPr>
              <w:rPr>
                <w:rFonts w:cstheme="minorHAnsi"/>
                <w:szCs w:val="24"/>
              </w:rPr>
            </w:pPr>
            <w:r w:rsidRPr="000F0378">
              <w:rPr>
                <w:rFonts w:cstheme="minorHAnsi"/>
                <w:szCs w:val="24"/>
              </w:rPr>
              <w:t>70.54</w:t>
            </w:r>
          </w:p>
        </w:tc>
      </w:tr>
      <w:tr w:rsidR="000F0378" w:rsidRPr="000F0378" w14:paraId="6F30633E" w14:textId="77777777" w:rsidTr="00A96DA2">
        <w:trPr>
          <w:trHeight w:val="289"/>
        </w:trPr>
        <w:tc>
          <w:tcPr>
            <w:tcW w:w="4827" w:type="dxa"/>
          </w:tcPr>
          <w:p w14:paraId="0B33BBFF" w14:textId="77777777" w:rsidR="000F0378" w:rsidRPr="000F0378" w:rsidRDefault="000F0378" w:rsidP="00A96DA2">
            <w:pPr>
              <w:rPr>
                <w:rFonts w:cstheme="minorHAnsi"/>
                <w:b/>
                <w:szCs w:val="24"/>
              </w:rPr>
            </w:pPr>
            <w:r w:rsidRPr="000F0378">
              <w:rPr>
                <w:rFonts w:cstheme="minorHAnsi"/>
                <w:b/>
                <w:szCs w:val="24"/>
              </w:rPr>
              <w:t xml:space="preserve">   Total</w:t>
            </w:r>
          </w:p>
        </w:tc>
        <w:tc>
          <w:tcPr>
            <w:tcW w:w="854" w:type="dxa"/>
          </w:tcPr>
          <w:p w14:paraId="5ABFE45A" w14:textId="77777777" w:rsidR="000F0378" w:rsidRPr="000F0378" w:rsidRDefault="000F0378" w:rsidP="00A96DA2">
            <w:pPr>
              <w:rPr>
                <w:rFonts w:cstheme="minorHAnsi"/>
                <w:b/>
                <w:szCs w:val="24"/>
              </w:rPr>
            </w:pPr>
            <w:r w:rsidRPr="000F0378">
              <w:rPr>
                <w:rFonts w:cstheme="minorHAnsi"/>
                <w:b/>
                <w:szCs w:val="24"/>
              </w:rPr>
              <w:t>1742</w:t>
            </w:r>
          </w:p>
        </w:tc>
        <w:tc>
          <w:tcPr>
            <w:tcW w:w="897" w:type="dxa"/>
          </w:tcPr>
          <w:p w14:paraId="0EA82BD0" w14:textId="77777777" w:rsidR="000F0378" w:rsidRPr="000F0378" w:rsidRDefault="000F0378" w:rsidP="00A96DA2">
            <w:pPr>
              <w:rPr>
                <w:rFonts w:cstheme="minorHAnsi"/>
                <w:b/>
                <w:szCs w:val="24"/>
              </w:rPr>
            </w:pPr>
            <w:r w:rsidRPr="000F0378">
              <w:rPr>
                <w:rFonts w:cstheme="minorHAnsi"/>
                <w:b/>
                <w:szCs w:val="24"/>
              </w:rPr>
              <w:t>45.03</w:t>
            </w:r>
          </w:p>
        </w:tc>
        <w:tc>
          <w:tcPr>
            <w:tcW w:w="798" w:type="dxa"/>
          </w:tcPr>
          <w:p w14:paraId="64A5793E" w14:textId="77777777" w:rsidR="000F0378" w:rsidRPr="000F0378" w:rsidRDefault="000F0378" w:rsidP="00A96DA2">
            <w:pPr>
              <w:rPr>
                <w:rFonts w:cstheme="minorHAnsi"/>
                <w:b/>
                <w:szCs w:val="24"/>
              </w:rPr>
            </w:pPr>
            <w:r w:rsidRPr="000F0378">
              <w:rPr>
                <w:rFonts w:cstheme="minorHAnsi"/>
                <w:b/>
                <w:szCs w:val="24"/>
              </w:rPr>
              <w:t>806</w:t>
            </w:r>
          </w:p>
        </w:tc>
        <w:tc>
          <w:tcPr>
            <w:tcW w:w="798" w:type="dxa"/>
          </w:tcPr>
          <w:p w14:paraId="3B291F95" w14:textId="77777777" w:rsidR="000F0378" w:rsidRPr="000F0378" w:rsidRDefault="000F0378" w:rsidP="00A96DA2">
            <w:pPr>
              <w:rPr>
                <w:rFonts w:cstheme="minorHAnsi"/>
                <w:b/>
                <w:szCs w:val="24"/>
              </w:rPr>
            </w:pPr>
            <w:r w:rsidRPr="000F0378">
              <w:rPr>
                <w:rFonts w:cstheme="minorHAnsi"/>
                <w:b/>
                <w:szCs w:val="24"/>
              </w:rPr>
              <w:t>29.65</w:t>
            </w:r>
          </w:p>
        </w:tc>
        <w:tc>
          <w:tcPr>
            <w:tcW w:w="798" w:type="dxa"/>
          </w:tcPr>
          <w:p w14:paraId="33AD6BB9" w14:textId="77777777" w:rsidR="000F0378" w:rsidRPr="000F0378" w:rsidRDefault="000F0378" w:rsidP="00A96DA2">
            <w:pPr>
              <w:rPr>
                <w:rFonts w:cstheme="minorHAnsi"/>
                <w:b/>
                <w:szCs w:val="24"/>
              </w:rPr>
            </w:pPr>
            <w:r w:rsidRPr="000F0378">
              <w:rPr>
                <w:rFonts w:cstheme="minorHAnsi"/>
                <w:b/>
                <w:szCs w:val="24"/>
              </w:rPr>
              <w:t>370</w:t>
            </w:r>
          </w:p>
        </w:tc>
        <w:tc>
          <w:tcPr>
            <w:tcW w:w="898" w:type="dxa"/>
          </w:tcPr>
          <w:p w14:paraId="1F0A74D2" w14:textId="77777777" w:rsidR="000F0378" w:rsidRPr="000F0378" w:rsidRDefault="000F0378" w:rsidP="00A96DA2">
            <w:pPr>
              <w:rPr>
                <w:rFonts w:cstheme="minorHAnsi"/>
                <w:b/>
                <w:szCs w:val="24"/>
              </w:rPr>
            </w:pPr>
            <w:r w:rsidRPr="000F0378">
              <w:rPr>
                <w:rFonts w:cstheme="minorHAnsi"/>
                <w:b/>
                <w:szCs w:val="24"/>
              </w:rPr>
              <w:t>29.93</w:t>
            </w:r>
          </w:p>
        </w:tc>
      </w:tr>
    </w:tbl>
    <w:p w14:paraId="2E5C4240" w14:textId="77777777" w:rsidR="000F0378" w:rsidRPr="000F0378" w:rsidRDefault="000F0378" w:rsidP="000F0378">
      <w:pPr>
        <w:pStyle w:val="ListParagraph"/>
        <w:rPr>
          <w:rFonts w:cstheme="minorHAnsi"/>
          <w:szCs w:val="24"/>
        </w:rPr>
      </w:pPr>
    </w:p>
    <w:p w14:paraId="24666D7D" w14:textId="77777777" w:rsidR="000F0378" w:rsidRPr="000F0378" w:rsidRDefault="000F0378" w:rsidP="000F0378">
      <w:pPr>
        <w:pStyle w:val="ListParagraph"/>
        <w:rPr>
          <w:rFonts w:cstheme="minorHAnsi"/>
          <w:szCs w:val="24"/>
        </w:rPr>
      </w:pPr>
    </w:p>
    <w:p w14:paraId="2330B266" w14:textId="77777777" w:rsidR="000F0378" w:rsidRPr="000F0378" w:rsidRDefault="000F0378" w:rsidP="00982B66">
      <w:pPr>
        <w:pStyle w:val="NormalWeb"/>
        <w:spacing w:before="0" w:beforeAutospacing="0" w:after="0" w:line="240" w:lineRule="auto"/>
        <w:jc w:val="both"/>
        <w:rPr>
          <w:rFonts w:asciiTheme="majorHAnsi" w:hAnsiTheme="majorHAnsi" w:cstheme="majorHAnsi"/>
          <w:shd w:val="clear" w:color="auto" w:fill="FFFFFF"/>
        </w:rPr>
      </w:pPr>
    </w:p>
    <w:sectPr w:rsidR="000F0378" w:rsidRPr="000F0378" w:rsidSect="0023143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6AD05" w14:textId="77777777" w:rsidR="006044F1" w:rsidRDefault="006044F1" w:rsidP="00251662">
      <w:r>
        <w:separator/>
      </w:r>
    </w:p>
  </w:endnote>
  <w:endnote w:type="continuationSeparator" w:id="0">
    <w:p w14:paraId="0B45BBA5" w14:textId="77777777" w:rsidR="006044F1" w:rsidRDefault="006044F1" w:rsidP="0025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HGMinchoB">
    <w:altName w:val="HG明朝B"/>
    <w:panose1 w:val="00000000000000000000"/>
    <w:charset w:val="80"/>
    <w:family w:val="roman"/>
    <w:notTrueType/>
    <w:pitch w:val="default"/>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ont29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798160"/>
      <w:docPartObj>
        <w:docPartGallery w:val="Page Numbers (Bottom of Page)"/>
        <w:docPartUnique/>
      </w:docPartObj>
    </w:sdtPr>
    <w:sdtEndPr>
      <w:rPr>
        <w:noProof/>
      </w:rPr>
    </w:sdtEndPr>
    <w:sdtContent>
      <w:p w14:paraId="10AC4CBF" w14:textId="733FB070" w:rsidR="006044F1" w:rsidRDefault="006044F1">
        <w:pPr>
          <w:pStyle w:val="Footer"/>
          <w:jc w:val="right"/>
        </w:pPr>
        <w:r>
          <w:fldChar w:fldCharType="begin"/>
        </w:r>
        <w:r>
          <w:instrText xml:space="preserve"> PAGE   \* MERGEFORMAT </w:instrText>
        </w:r>
        <w:r>
          <w:fldChar w:fldCharType="separate"/>
        </w:r>
        <w:r w:rsidR="008E6C49">
          <w:rPr>
            <w:noProof/>
          </w:rPr>
          <w:t>21</w:t>
        </w:r>
        <w:r>
          <w:rPr>
            <w:noProof/>
          </w:rPr>
          <w:fldChar w:fldCharType="end"/>
        </w:r>
      </w:p>
    </w:sdtContent>
  </w:sdt>
  <w:p w14:paraId="51AAF7BF" w14:textId="77777777" w:rsidR="006044F1" w:rsidRDefault="0060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55C49" w14:textId="77777777" w:rsidR="006044F1" w:rsidRDefault="006044F1" w:rsidP="00251662">
      <w:r>
        <w:separator/>
      </w:r>
    </w:p>
  </w:footnote>
  <w:footnote w:type="continuationSeparator" w:id="0">
    <w:p w14:paraId="00833810" w14:textId="77777777" w:rsidR="006044F1" w:rsidRDefault="006044F1" w:rsidP="00251662">
      <w:r>
        <w:continuationSeparator/>
      </w:r>
    </w:p>
  </w:footnote>
  <w:footnote w:id="1">
    <w:p w14:paraId="54992FFB" w14:textId="17E84999" w:rsidR="00711115" w:rsidRDefault="00711115">
      <w:pPr>
        <w:pStyle w:val="FootnoteText"/>
      </w:pPr>
      <w:r>
        <w:rPr>
          <w:rStyle w:val="FootnoteReference"/>
        </w:rPr>
        <w:footnoteRef/>
      </w:r>
      <w:r>
        <w:t xml:space="preserve"> </w:t>
      </w:r>
      <w:hyperlink r:id="rId1" w:history="1">
        <w:r w:rsidRPr="00011DB7">
          <w:rPr>
            <w:rStyle w:val="Hyperlink"/>
          </w:rPr>
          <w:t>https://www.ilga.gov/legislation/publicacts/100/100-0879.htm</w:t>
        </w:r>
      </w:hyperlink>
      <w:r>
        <w:t xml:space="preserve"> </w:t>
      </w:r>
    </w:p>
  </w:footnote>
  <w:footnote w:id="2">
    <w:p w14:paraId="6F0A3FB8" w14:textId="77777777" w:rsidR="006044F1" w:rsidRPr="007606B2" w:rsidRDefault="006044F1" w:rsidP="00F46317">
      <w:pPr>
        <w:pStyle w:val="FootnoteText"/>
        <w:spacing w:after="0"/>
      </w:pPr>
      <w:r w:rsidRPr="007606B2">
        <w:rPr>
          <w:rStyle w:val="FootnoteReference"/>
        </w:rPr>
        <w:footnoteRef/>
      </w:r>
      <w:r w:rsidRPr="007606B2">
        <w:t xml:space="preserve"> Casey Family Programs (2017, October). </w:t>
      </w:r>
      <w:r w:rsidRPr="004A4288">
        <w:rPr>
          <w:i/>
        </w:rPr>
        <w:t>Information Packet Healthy Organizations: How does turnover affect outcomes and what can be done to address retention?</w:t>
      </w:r>
      <w:r w:rsidRPr="007606B2">
        <w:t xml:space="preserve"> Retrieved from </w:t>
      </w:r>
      <w:hyperlink r:id="rId2" w:history="1">
        <w:r w:rsidRPr="007606B2">
          <w:rPr>
            <w:rStyle w:val="Hyperlink"/>
          </w:rPr>
          <w:t>https://caseyfamilypro-wpengine.netdna-ssl.com/media/HO_Turnover-Costs_and_Retention_Strategies-1.pdf</w:t>
        </w:r>
      </w:hyperlink>
    </w:p>
  </w:footnote>
  <w:footnote w:id="3">
    <w:p w14:paraId="02FA838D" w14:textId="7F5603A2" w:rsidR="006044F1" w:rsidRPr="00A14BB7" w:rsidRDefault="006044F1" w:rsidP="00F46317">
      <w:pPr>
        <w:pStyle w:val="FootnoteText"/>
        <w:spacing w:after="0"/>
      </w:pPr>
      <w:r>
        <w:rPr>
          <w:rStyle w:val="FootnoteReference"/>
        </w:rPr>
        <w:footnoteRef/>
      </w:r>
      <w:r>
        <w:t xml:space="preserve"> Alliance for Children and families, American Public Human Services Association, &amp; Child Welfare League of America. 92001). </w:t>
      </w:r>
      <w:r>
        <w:rPr>
          <w:i/>
        </w:rPr>
        <w:t>The child welfare workforce challenge: Results from a preliminary study.</w:t>
      </w:r>
      <w:r>
        <w:t xml:space="preserve"> Presented at Finding Better Ways 2001, Dallas, TX.</w:t>
      </w:r>
    </w:p>
  </w:footnote>
  <w:footnote w:id="4">
    <w:p w14:paraId="773B69FB" w14:textId="2C1EA219" w:rsidR="006044F1" w:rsidRPr="007606B2" w:rsidRDefault="006044F1" w:rsidP="00F46317">
      <w:pPr>
        <w:pStyle w:val="FootnoteText"/>
        <w:spacing w:after="0"/>
      </w:pPr>
      <w:r w:rsidRPr="007606B2">
        <w:rPr>
          <w:rStyle w:val="FootnoteReference"/>
        </w:rPr>
        <w:footnoteRef/>
      </w:r>
      <w:r w:rsidRPr="007606B2">
        <w:t xml:space="preserve"> </w:t>
      </w:r>
      <w:r>
        <w:t>Annie E. Casey Foundation</w:t>
      </w:r>
      <w:r w:rsidRPr="007606B2">
        <w:t>.</w:t>
      </w:r>
      <w:r>
        <w:t xml:space="preserve"> (2003). </w:t>
      </w:r>
      <w:r>
        <w:rPr>
          <w:i/>
        </w:rPr>
        <w:t xml:space="preserve">The unsolved challenge of system reform: The condition of frontline human services workforce. </w:t>
      </w:r>
      <w:r>
        <w:t xml:space="preserve">Baltimore: Annie E. Casey Foundation. </w:t>
      </w:r>
      <w:r w:rsidRPr="007606B2">
        <w:t xml:space="preserve"> </w:t>
      </w:r>
    </w:p>
  </w:footnote>
  <w:footnote w:id="5">
    <w:p w14:paraId="3D5DB101" w14:textId="7A0F41F0" w:rsidR="006044F1" w:rsidRPr="007606B2" w:rsidRDefault="006044F1" w:rsidP="00F46317">
      <w:pPr>
        <w:pStyle w:val="FootnoteText"/>
        <w:spacing w:after="0"/>
      </w:pPr>
      <w:r w:rsidRPr="007606B2">
        <w:rPr>
          <w:rStyle w:val="FootnoteReference"/>
        </w:rPr>
        <w:footnoteRef/>
      </w:r>
      <w:r w:rsidRPr="007606B2">
        <w:t xml:space="preserve"> U.S. Government Accountability Office. (2003). </w:t>
      </w:r>
      <w:r w:rsidRPr="00C53376">
        <w:rPr>
          <w:i/>
        </w:rPr>
        <w:t>Child welfare: HHS could play a greater role in helping child welfare agencies recruit and retain staff</w:t>
      </w:r>
      <w:r w:rsidRPr="007606B2">
        <w:t xml:space="preserve"> (GAO-03</w:t>
      </w:r>
      <w:r>
        <w:t xml:space="preserve">-357). Washington, DC: Author. </w:t>
      </w:r>
    </w:p>
  </w:footnote>
  <w:footnote w:id="6">
    <w:p w14:paraId="4E5C3FB7" w14:textId="77777777" w:rsidR="006044F1" w:rsidRPr="003071FF" w:rsidRDefault="006044F1" w:rsidP="00F46317">
      <w:pPr>
        <w:pStyle w:val="FootnoteText"/>
        <w:spacing w:after="0"/>
        <w:rPr>
          <w:rFonts w:ascii="Arial" w:hAnsi="Arial"/>
        </w:rPr>
      </w:pPr>
      <w:r w:rsidRPr="007606B2">
        <w:rPr>
          <w:rStyle w:val="FootnoteReference"/>
        </w:rPr>
        <w:footnoteRef/>
      </w:r>
      <w:r w:rsidRPr="007606B2">
        <w:t xml:space="preserve"> Leung, P., &amp; Willis, N. (2012). The impact of Title IV-E training on case outcomes for children serviced by CPS. </w:t>
      </w:r>
      <w:r w:rsidRPr="00F22114">
        <w:rPr>
          <w:i/>
        </w:rPr>
        <w:t>Journal of Family Strengths, 12</w:t>
      </w:r>
      <w:r w:rsidRPr="007606B2">
        <w:t>, 1-16.</w:t>
      </w:r>
      <w:r w:rsidRPr="003071FF">
        <w:rPr>
          <w:rFonts w:ascii="Arial" w:hAnsi="Arial"/>
        </w:rPr>
        <w:t xml:space="preserve"> </w:t>
      </w:r>
    </w:p>
  </w:footnote>
  <w:footnote w:id="7">
    <w:p w14:paraId="79928621" w14:textId="35EEB040" w:rsidR="006044F1" w:rsidRPr="00AE5F23" w:rsidRDefault="006044F1" w:rsidP="00F46317">
      <w:pPr>
        <w:pStyle w:val="FootnoteText"/>
        <w:spacing w:after="0"/>
        <w:rPr>
          <w:rFonts w:cs="Arial"/>
        </w:rPr>
      </w:pPr>
      <w:r>
        <w:rPr>
          <w:rStyle w:val="FootnoteReference"/>
        </w:rPr>
        <w:footnoteRef/>
      </w:r>
      <w:r>
        <w:t xml:space="preserve"> </w:t>
      </w:r>
      <w:r w:rsidRPr="003F04B4">
        <w:rPr>
          <w:rFonts w:cs="Calibri"/>
        </w:rPr>
        <w:t xml:space="preserve">National Council on Crime and Delinquency (2006). </w:t>
      </w:r>
      <w:r w:rsidRPr="003F04B4">
        <w:rPr>
          <w:rFonts w:cs="Calibri"/>
          <w:i/>
        </w:rPr>
        <w:t>Relationship between staff turnover, child welfare system functioning and recurrent child abuse.</w:t>
      </w:r>
      <w:r w:rsidRPr="003F04B4">
        <w:rPr>
          <w:rFonts w:cs="Calibri"/>
        </w:rPr>
        <w:t xml:space="preserve"> Retrieved from: </w:t>
      </w:r>
      <w:hyperlink r:id="rId3" w:history="1">
        <w:r w:rsidRPr="003F04B4">
          <w:rPr>
            <w:rStyle w:val="Hyperlink"/>
            <w:rFonts w:cs="Calibri"/>
          </w:rPr>
          <w:t>https://www.michigan.gov/documents/gtfcj/Staff_Turnover__Recurrent_CA-3-06-NCCA_187006_7.pdf</w:t>
        </w:r>
      </w:hyperlink>
    </w:p>
  </w:footnote>
  <w:footnote w:id="8">
    <w:p w14:paraId="079D5EEE" w14:textId="77777777" w:rsidR="006044F1" w:rsidRPr="009D5B67" w:rsidRDefault="006044F1" w:rsidP="00FA0147">
      <w:pPr>
        <w:pStyle w:val="FootnoteText"/>
        <w:spacing w:after="0"/>
        <w:rPr>
          <w:rFonts w:ascii="Arial" w:hAnsi="Arial"/>
        </w:rPr>
      </w:pPr>
      <w:r w:rsidRPr="003F04B4">
        <w:rPr>
          <w:rStyle w:val="FootnoteReference"/>
          <w:rFonts w:cs="Calibri"/>
        </w:rPr>
        <w:footnoteRef/>
      </w:r>
      <w:r w:rsidRPr="003F04B4">
        <w:rPr>
          <w:rFonts w:cs="Calibri"/>
        </w:rPr>
        <w:t xml:space="preserve"> U.S. Government Accountability Office. (2003). </w:t>
      </w:r>
      <w:r w:rsidRPr="003F04B4">
        <w:rPr>
          <w:rFonts w:cs="Calibri"/>
          <w:i/>
        </w:rPr>
        <w:t xml:space="preserve">Child welfare: HHS could play a greater role in helping child welfare agencies recruit and retain staff </w:t>
      </w:r>
      <w:r w:rsidRPr="003F04B4">
        <w:rPr>
          <w:rFonts w:cs="Calibri"/>
        </w:rPr>
        <w:t>(GAO-03-357). Washington, DC: Author.</w:t>
      </w:r>
    </w:p>
  </w:footnote>
  <w:footnote w:id="9">
    <w:p w14:paraId="73A25938" w14:textId="77777777" w:rsidR="006044F1" w:rsidRPr="003F04B4" w:rsidRDefault="006044F1" w:rsidP="00774DF4">
      <w:pPr>
        <w:pStyle w:val="FootnoteText"/>
        <w:spacing w:after="0"/>
        <w:rPr>
          <w:rFonts w:cs="Calibri"/>
        </w:rPr>
      </w:pPr>
      <w:r w:rsidRPr="003F04B4">
        <w:rPr>
          <w:rStyle w:val="FootnoteReference"/>
          <w:rFonts w:cs="Calibri"/>
        </w:rPr>
        <w:footnoteRef/>
      </w:r>
      <w:r w:rsidRPr="003F04B4">
        <w:rPr>
          <w:rFonts w:cs="Calibri"/>
        </w:rPr>
        <w:t xml:space="preserve"> Strolin-Goltzman, J., </w:t>
      </w:r>
      <w:proofErr w:type="spellStart"/>
      <w:r w:rsidRPr="003F04B4">
        <w:rPr>
          <w:rFonts w:cs="Calibri"/>
        </w:rPr>
        <w:t>Kollar</w:t>
      </w:r>
      <w:proofErr w:type="spellEnd"/>
      <w:r w:rsidRPr="003F04B4">
        <w:rPr>
          <w:rFonts w:cs="Calibri"/>
        </w:rPr>
        <w:t xml:space="preserve">, S., &amp; </w:t>
      </w:r>
      <w:proofErr w:type="spellStart"/>
      <w:r w:rsidRPr="003F04B4">
        <w:rPr>
          <w:rFonts w:cs="Calibri"/>
        </w:rPr>
        <w:t>Trinkle</w:t>
      </w:r>
      <w:proofErr w:type="spellEnd"/>
      <w:r w:rsidRPr="003F04B4">
        <w:rPr>
          <w:rFonts w:cs="Calibri"/>
        </w:rPr>
        <w:t xml:space="preserve"> J. (2010). Listening to the voices of children in foster care: youths speak out about child welfare workforce turnover and selection. </w:t>
      </w:r>
      <w:r w:rsidRPr="003F04B4">
        <w:rPr>
          <w:rFonts w:cs="Calibri"/>
          <w:i/>
        </w:rPr>
        <w:t>Social Work</w:t>
      </w:r>
      <w:r w:rsidRPr="003F04B4">
        <w:rPr>
          <w:rFonts w:cs="Calibri"/>
        </w:rPr>
        <w:t xml:space="preserve">, </w:t>
      </w:r>
      <w:r w:rsidRPr="003F04B4">
        <w:rPr>
          <w:rFonts w:cs="Calibri"/>
          <w:i/>
        </w:rPr>
        <w:t>55</w:t>
      </w:r>
      <w:r w:rsidRPr="003F04B4">
        <w:rPr>
          <w:rFonts w:cs="Calibri"/>
        </w:rPr>
        <w:t>, 47-53.</w:t>
      </w:r>
    </w:p>
  </w:footnote>
  <w:footnote w:id="10">
    <w:p w14:paraId="403A42B9" w14:textId="77777777" w:rsidR="006044F1" w:rsidRPr="002D7E56" w:rsidRDefault="006044F1" w:rsidP="003F04B4">
      <w:pPr>
        <w:pStyle w:val="FootnoteText"/>
        <w:spacing w:after="0"/>
        <w:rPr>
          <w:rFonts w:ascii="Arial" w:hAnsi="Arial" w:cs="Arial"/>
        </w:rPr>
      </w:pPr>
      <w:r w:rsidRPr="009D5B67">
        <w:rPr>
          <w:rStyle w:val="FootnoteReference"/>
          <w:rFonts w:cs="Arial"/>
        </w:rPr>
        <w:footnoteRef/>
      </w:r>
      <w:r w:rsidRPr="009D5B67">
        <w:rPr>
          <w:rFonts w:cs="Arial"/>
        </w:rPr>
        <w:t xml:space="preserve"> U.S. Government Accountability Office. (2003). </w:t>
      </w:r>
      <w:r w:rsidRPr="00C53376">
        <w:rPr>
          <w:rFonts w:cs="Arial"/>
          <w:i/>
        </w:rPr>
        <w:t xml:space="preserve">Child welfare: HHS could play a greater role in helping child welfare agencies recruit and retain staff </w:t>
      </w:r>
      <w:r w:rsidRPr="009D5B67">
        <w:rPr>
          <w:rFonts w:cs="Arial"/>
        </w:rPr>
        <w:t>(GAO-03-357). Washington, DC: Author.</w:t>
      </w:r>
    </w:p>
  </w:footnote>
  <w:footnote w:id="11">
    <w:p w14:paraId="11FDD6F6" w14:textId="77777777" w:rsidR="006044F1" w:rsidRPr="003F04B4" w:rsidRDefault="006044F1" w:rsidP="00922FAC">
      <w:pPr>
        <w:spacing w:after="0"/>
        <w:rPr>
          <w:rFonts w:cs="Calibri"/>
          <w:sz w:val="20"/>
          <w:szCs w:val="20"/>
        </w:rPr>
      </w:pPr>
      <w:r w:rsidRPr="003F04B4">
        <w:rPr>
          <w:rStyle w:val="FootnoteReference"/>
          <w:rFonts w:cs="Calibri"/>
          <w:sz w:val="20"/>
          <w:szCs w:val="20"/>
        </w:rPr>
        <w:footnoteRef/>
      </w:r>
      <w:r w:rsidRPr="003F04B4">
        <w:rPr>
          <w:rFonts w:cs="Calibri"/>
          <w:sz w:val="20"/>
          <w:szCs w:val="20"/>
        </w:rPr>
        <w:t xml:space="preserve"> Flower, C., McDonald, J., &amp; </w:t>
      </w:r>
      <w:proofErr w:type="spellStart"/>
      <w:r w:rsidRPr="003F04B4">
        <w:rPr>
          <w:rFonts w:cs="Calibri"/>
          <w:sz w:val="20"/>
          <w:szCs w:val="20"/>
        </w:rPr>
        <w:t>Sumski</w:t>
      </w:r>
      <w:proofErr w:type="spellEnd"/>
      <w:r w:rsidRPr="003F04B4">
        <w:rPr>
          <w:rFonts w:cs="Calibri"/>
          <w:sz w:val="20"/>
          <w:szCs w:val="20"/>
        </w:rPr>
        <w:t xml:space="preserve">, M. (2005). </w:t>
      </w:r>
      <w:r w:rsidRPr="003F04B4">
        <w:rPr>
          <w:rFonts w:cs="Calibri"/>
          <w:i/>
          <w:sz w:val="20"/>
          <w:szCs w:val="20"/>
        </w:rPr>
        <w:t>Review of turnover in Milwaukee County Private Agency Child Welfare Ongoing Case Management Staff</w:t>
      </w:r>
      <w:r w:rsidRPr="003F04B4">
        <w:rPr>
          <w:rFonts w:cs="Calibri"/>
          <w:sz w:val="20"/>
          <w:szCs w:val="20"/>
        </w:rPr>
        <w:t xml:space="preserve">. Retrieved from: </w:t>
      </w:r>
      <w:hyperlink r:id="rId4" w:history="1">
        <w:r w:rsidRPr="003F04B4">
          <w:rPr>
            <w:rStyle w:val="Hyperlink"/>
            <w:rFonts w:cs="Calibri"/>
            <w:sz w:val="20"/>
            <w:szCs w:val="20"/>
          </w:rPr>
          <w:t>https://uh.edu/socialwork/_docs/cwep/national-iv-e/turnoverstudy.pdf</w:t>
        </w:r>
      </w:hyperlink>
    </w:p>
  </w:footnote>
  <w:footnote w:id="12">
    <w:p w14:paraId="161E7A3E" w14:textId="77777777" w:rsidR="006044F1" w:rsidRPr="003F04B4" w:rsidRDefault="006044F1" w:rsidP="00922FAC">
      <w:pPr>
        <w:pStyle w:val="FootnoteText"/>
        <w:spacing w:after="0"/>
        <w:rPr>
          <w:rFonts w:cs="Calibri"/>
        </w:rPr>
      </w:pPr>
      <w:r w:rsidRPr="003F04B4">
        <w:rPr>
          <w:rStyle w:val="FootnoteReference"/>
          <w:rFonts w:cs="Calibri"/>
        </w:rPr>
        <w:footnoteRef/>
      </w:r>
      <w:r w:rsidRPr="003F04B4">
        <w:rPr>
          <w:rFonts w:cs="Calibri"/>
        </w:rPr>
        <w:t xml:space="preserve"> National Council on Crime and Delinquency (2006). </w:t>
      </w:r>
      <w:r w:rsidRPr="003F04B4">
        <w:rPr>
          <w:rFonts w:cs="Calibri"/>
          <w:i/>
        </w:rPr>
        <w:t>Relationship between staff turnover, child welfare system functioning and recurrent child abuse.</w:t>
      </w:r>
      <w:r w:rsidRPr="003F04B4">
        <w:rPr>
          <w:rFonts w:cs="Calibri"/>
        </w:rPr>
        <w:t xml:space="preserve"> Retrieved from: </w:t>
      </w:r>
      <w:hyperlink r:id="rId5" w:history="1">
        <w:r w:rsidRPr="003F04B4">
          <w:rPr>
            <w:rStyle w:val="Hyperlink"/>
            <w:rFonts w:cs="Calibri"/>
          </w:rPr>
          <w:t>https://www.michigan.gov/documents/gtfcj/Staff_Turnover__Recurrent_CA-3-06-NCCA_187006_7.pdf</w:t>
        </w:r>
      </w:hyperlink>
    </w:p>
  </w:footnote>
  <w:footnote w:id="13">
    <w:p w14:paraId="5ED82255" w14:textId="452FA521" w:rsidR="006044F1" w:rsidRPr="00996C0D" w:rsidRDefault="006044F1" w:rsidP="00922FAC">
      <w:pPr>
        <w:pStyle w:val="FootnoteText"/>
        <w:spacing w:after="0"/>
        <w:rPr>
          <w:rFonts w:cs="Arial"/>
        </w:rPr>
      </w:pPr>
      <w:r w:rsidRPr="00996C0D">
        <w:rPr>
          <w:rStyle w:val="FootnoteReference"/>
          <w:rFonts w:cs="Arial"/>
        </w:rPr>
        <w:footnoteRef/>
      </w:r>
      <w:r w:rsidRPr="00996C0D">
        <w:rPr>
          <w:rFonts w:cs="Arial"/>
        </w:rPr>
        <w:t xml:space="preserve"> Kim, H., &amp; Kao, D. (2014). A meta-analysis of turnover intention predictors among U.S. child welfare worker</w:t>
      </w:r>
      <w:r>
        <w:rPr>
          <w:rFonts w:cs="Arial"/>
        </w:rPr>
        <w:t>s</w:t>
      </w:r>
      <w:r w:rsidRPr="00996C0D">
        <w:rPr>
          <w:rFonts w:cs="Arial"/>
        </w:rPr>
        <w:t xml:space="preserve">. </w:t>
      </w:r>
      <w:r w:rsidRPr="00E82422">
        <w:rPr>
          <w:rFonts w:cs="Arial"/>
          <w:i/>
        </w:rPr>
        <w:t>Children and Youth Services Review</w:t>
      </w:r>
      <w:r w:rsidRPr="00996C0D">
        <w:rPr>
          <w:rFonts w:cs="Arial"/>
        </w:rPr>
        <w:t xml:space="preserve">, </w:t>
      </w:r>
      <w:r w:rsidRPr="00060326">
        <w:rPr>
          <w:rFonts w:cs="Arial"/>
          <w:i/>
        </w:rPr>
        <w:t>47</w:t>
      </w:r>
      <w:r w:rsidRPr="00996C0D">
        <w:rPr>
          <w:rFonts w:cs="Arial"/>
        </w:rPr>
        <w:t xml:space="preserve">, 214-223. </w:t>
      </w:r>
    </w:p>
  </w:footnote>
  <w:footnote w:id="14">
    <w:p w14:paraId="24A9FE5B" w14:textId="3C90413A" w:rsidR="006044F1" w:rsidRPr="00996C0D" w:rsidRDefault="006044F1" w:rsidP="00922FAC">
      <w:pPr>
        <w:pStyle w:val="FootnoteText"/>
        <w:spacing w:after="0"/>
      </w:pPr>
      <w:r w:rsidRPr="00996C0D">
        <w:rPr>
          <w:rStyle w:val="FootnoteReference"/>
        </w:rPr>
        <w:footnoteRef/>
      </w:r>
      <w:r w:rsidRPr="00996C0D">
        <w:t xml:space="preserve"> The level of influence is based on the effect size described in Kim and Kao (2014): low (&lt;0.1), moderate (0.1-0.3), medium (0.3-0.5), and high (&gt;0.5)</w:t>
      </w:r>
      <w:r>
        <w:t>.</w:t>
      </w:r>
    </w:p>
  </w:footnote>
  <w:footnote w:id="15">
    <w:p w14:paraId="78FD9AD4" w14:textId="7731CA39" w:rsidR="006044F1" w:rsidRDefault="006044F1" w:rsidP="0063690C">
      <w:pPr>
        <w:pStyle w:val="FootnoteText"/>
        <w:spacing w:after="0"/>
      </w:pPr>
      <w:r>
        <w:rPr>
          <w:rStyle w:val="FootnoteReference"/>
        </w:rPr>
        <w:footnoteRef/>
      </w:r>
      <w:r>
        <w:t xml:space="preserve"> Child Welfare League of America (CWLA). (2003). </w:t>
      </w:r>
      <w:r w:rsidRPr="0063690C">
        <w:rPr>
          <w:i/>
        </w:rPr>
        <w:t>CWLA standards of excellence for services to strengthen and preserve families</w:t>
      </w:r>
      <w:r>
        <w:t xml:space="preserve"> (rev. </w:t>
      </w:r>
      <w:proofErr w:type="gramStart"/>
      <w:r>
        <w:t>ed</w:t>
      </w:r>
      <w:proofErr w:type="gramEnd"/>
      <w:r>
        <w:t>.). Washington, DC: Author.</w:t>
      </w:r>
    </w:p>
  </w:footnote>
  <w:footnote w:id="16">
    <w:p w14:paraId="4C2A2B24" w14:textId="797CB129" w:rsidR="006044F1" w:rsidRDefault="006044F1" w:rsidP="00F52AE1">
      <w:pPr>
        <w:pStyle w:val="FootnoteText"/>
        <w:spacing w:after="0"/>
      </w:pPr>
      <w:r>
        <w:rPr>
          <w:rStyle w:val="FootnoteReference"/>
        </w:rPr>
        <w:footnoteRef/>
      </w:r>
      <w:r>
        <w:t xml:space="preserve"> Council on Accreditation (COA). (2019). </w:t>
      </w:r>
      <w:r w:rsidRPr="00F253E8">
        <w:rPr>
          <w:i/>
        </w:rPr>
        <w:t>Child Protective Services</w:t>
      </w:r>
      <w:r>
        <w:t xml:space="preserve">. Retrieved from </w:t>
      </w:r>
      <w:hyperlink r:id="rId6" w:history="1">
        <w:r w:rsidRPr="00C92D18">
          <w:rPr>
            <w:rStyle w:val="Hyperlink"/>
          </w:rPr>
          <w:t>http://coanet.org/standard/cps/purpose.pdf</w:t>
        </w:r>
      </w:hyperlink>
      <w:r>
        <w:t xml:space="preserve">. Council on Accreditation (COA). (2019). </w:t>
      </w:r>
      <w:r w:rsidRPr="00F253E8">
        <w:rPr>
          <w:i/>
        </w:rPr>
        <w:t>Family foster care and kinship</w:t>
      </w:r>
      <w:r>
        <w:t xml:space="preserve">. Retrieved from </w:t>
      </w:r>
      <w:hyperlink r:id="rId7" w:history="1">
        <w:r w:rsidRPr="00C92D18">
          <w:rPr>
            <w:rStyle w:val="Hyperlink"/>
          </w:rPr>
          <w:t>http://coanet.org/standard/fkc/purpose.pdf</w:t>
        </w:r>
      </w:hyperlink>
      <w:r>
        <w:t xml:space="preserve">. Council on Accreditation (COA). (2019). </w:t>
      </w:r>
      <w:r w:rsidRPr="00F253E8">
        <w:rPr>
          <w:i/>
        </w:rPr>
        <w:t>Family Preservation and Stabilization Services</w:t>
      </w:r>
      <w:r>
        <w:t xml:space="preserve">. Retrieved from </w:t>
      </w:r>
      <w:hyperlink r:id="rId8" w:history="1">
        <w:r w:rsidRPr="00C92D18">
          <w:rPr>
            <w:rStyle w:val="Hyperlink"/>
          </w:rPr>
          <w:t>http://coanet.org/standard/fps/purpose.pdf</w:t>
        </w:r>
      </w:hyperlink>
      <w:r>
        <w:t xml:space="preserve">. </w:t>
      </w:r>
    </w:p>
  </w:footnote>
  <w:footnote w:id="17">
    <w:p w14:paraId="6BF69809" w14:textId="09C5267A" w:rsidR="006044F1" w:rsidRPr="00D46CE6" w:rsidRDefault="006044F1" w:rsidP="00D46CE6">
      <w:pPr>
        <w:pStyle w:val="FootnoteText"/>
        <w:spacing w:after="0"/>
        <w:rPr>
          <w:rFonts w:cs="Arial"/>
        </w:rPr>
      </w:pPr>
      <w:r>
        <w:rPr>
          <w:rStyle w:val="FootnoteReference"/>
        </w:rPr>
        <w:footnoteRef/>
      </w:r>
      <w:r>
        <w:t xml:space="preserve"> </w:t>
      </w:r>
      <w:r w:rsidRPr="00996C0D">
        <w:rPr>
          <w:rFonts w:cs="Arial"/>
        </w:rPr>
        <w:t>Kim, H., &amp; Kao, D. (2014). A meta-analysis of turnover intention predictors among U.S. child welfare worker</w:t>
      </w:r>
      <w:r>
        <w:rPr>
          <w:rFonts w:cs="Arial"/>
        </w:rPr>
        <w:t>s</w:t>
      </w:r>
      <w:r w:rsidRPr="00996C0D">
        <w:rPr>
          <w:rFonts w:cs="Arial"/>
        </w:rPr>
        <w:t xml:space="preserve">. </w:t>
      </w:r>
      <w:r w:rsidRPr="00E82422">
        <w:rPr>
          <w:rFonts w:cs="Arial"/>
          <w:i/>
        </w:rPr>
        <w:t>Children and Youth Services Review</w:t>
      </w:r>
      <w:r w:rsidRPr="00996C0D">
        <w:rPr>
          <w:rFonts w:cs="Arial"/>
        </w:rPr>
        <w:t xml:space="preserve">, </w:t>
      </w:r>
      <w:r w:rsidRPr="00060326">
        <w:rPr>
          <w:rFonts w:cs="Arial"/>
          <w:i/>
        </w:rPr>
        <w:t>47</w:t>
      </w:r>
      <w:r w:rsidRPr="00996C0D">
        <w:rPr>
          <w:rFonts w:cs="Arial"/>
        </w:rPr>
        <w:t xml:space="preserve">, 214-223. </w:t>
      </w:r>
    </w:p>
  </w:footnote>
  <w:footnote w:id="18">
    <w:p w14:paraId="499BEC13" w14:textId="480ADE94" w:rsidR="006044F1" w:rsidRDefault="006044F1" w:rsidP="00D15938">
      <w:pPr>
        <w:pStyle w:val="FootnoteText"/>
        <w:spacing w:after="0"/>
      </w:pPr>
      <w:r>
        <w:rPr>
          <w:rStyle w:val="FootnoteReference"/>
        </w:rPr>
        <w:footnoteRef/>
      </w:r>
      <w:r>
        <w:t xml:space="preserve"> </w:t>
      </w:r>
      <w:r w:rsidRPr="003F04B4">
        <w:rPr>
          <w:rFonts w:cs="Calibri"/>
        </w:rPr>
        <w:t xml:space="preserve">National Council on Crime and Delinquency (2006). </w:t>
      </w:r>
      <w:r w:rsidRPr="003F04B4">
        <w:rPr>
          <w:rFonts w:cs="Calibri"/>
          <w:i/>
        </w:rPr>
        <w:t>Relationship between staff turnover, child welfare system functioning and recurrent child abuse.</w:t>
      </w:r>
      <w:r w:rsidRPr="003F04B4">
        <w:rPr>
          <w:rFonts w:cs="Calibri"/>
        </w:rPr>
        <w:t xml:space="preserve"> Retrieved from: </w:t>
      </w:r>
      <w:hyperlink r:id="rId9" w:history="1">
        <w:r w:rsidRPr="003F04B4">
          <w:rPr>
            <w:rStyle w:val="Hyperlink"/>
            <w:rFonts w:cs="Calibri"/>
          </w:rPr>
          <w:t>https://www.michigan.gov/documents/gtfcj/Staff_Turnover__Recurrent_CA-3-06-NCCA_187006_7.pdf</w:t>
        </w:r>
      </w:hyperlink>
    </w:p>
  </w:footnote>
  <w:footnote w:id="19">
    <w:p w14:paraId="288936C1" w14:textId="77777777" w:rsidR="006044F1" w:rsidRPr="003D7421" w:rsidRDefault="006044F1" w:rsidP="00D15938">
      <w:pPr>
        <w:pStyle w:val="FootnoteText"/>
        <w:spacing w:after="0"/>
        <w:rPr>
          <w:rFonts w:cs="Calibri"/>
        </w:rPr>
      </w:pPr>
      <w:r w:rsidRPr="003D7421">
        <w:rPr>
          <w:rStyle w:val="FootnoteReference"/>
          <w:rFonts w:cs="Calibri"/>
        </w:rPr>
        <w:footnoteRef/>
      </w:r>
      <w:r w:rsidRPr="003D7421">
        <w:rPr>
          <w:rFonts w:cs="Calibri"/>
        </w:rPr>
        <w:t xml:space="preserve"> Smith, B.D. (2005). Job retention in child welfare: Effects of perceived organizational support, supervisor support, and intrinsic job value. </w:t>
      </w:r>
      <w:r w:rsidRPr="003D7421">
        <w:rPr>
          <w:rFonts w:cs="Calibri"/>
          <w:i/>
        </w:rPr>
        <w:t>Children and Youth Services Review, 27</w:t>
      </w:r>
      <w:r w:rsidRPr="003D7421">
        <w:rPr>
          <w:rFonts w:cs="Calibri"/>
        </w:rPr>
        <w:t xml:space="preserve">, 153-169. </w:t>
      </w:r>
    </w:p>
  </w:footnote>
  <w:footnote w:id="20">
    <w:p w14:paraId="33064F46" w14:textId="77777777" w:rsidR="006044F1" w:rsidRPr="003D7421" w:rsidRDefault="006044F1" w:rsidP="00D15938">
      <w:pPr>
        <w:pStyle w:val="FootnoteText"/>
        <w:spacing w:after="0"/>
        <w:rPr>
          <w:rFonts w:cs="Calibri"/>
        </w:rPr>
      </w:pPr>
      <w:r w:rsidRPr="003D7421">
        <w:rPr>
          <w:rStyle w:val="FootnoteReference"/>
          <w:rFonts w:cs="Calibri"/>
        </w:rPr>
        <w:footnoteRef/>
      </w:r>
      <w:r w:rsidRPr="003D7421">
        <w:rPr>
          <w:rFonts w:cs="Calibri"/>
        </w:rPr>
        <w:t xml:space="preserve"> Wilke, D.J., Rakes, S., &amp; Randolph, K.A. (2019). Predictors of early departure among recently hired child welfare workers. </w:t>
      </w:r>
      <w:r w:rsidRPr="003D7421">
        <w:rPr>
          <w:rFonts w:cs="Calibri"/>
          <w:i/>
        </w:rPr>
        <w:t>Social Work, 64</w:t>
      </w:r>
      <w:r w:rsidRPr="003D7421">
        <w:rPr>
          <w:rFonts w:cs="Calibri"/>
        </w:rPr>
        <w:t>, 188-197.</w:t>
      </w:r>
    </w:p>
  </w:footnote>
  <w:footnote w:id="21">
    <w:p w14:paraId="141BFD02" w14:textId="77777777" w:rsidR="006044F1" w:rsidRPr="003D7421" w:rsidRDefault="006044F1" w:rsidP="00D15938">
      <w:pPr>
        <w:pStyle w:val="FootnoteText"/>
        <w:spacing w:after="0"/>
        <w:rPr>
          <w:rFonts w:cs="Calibri"/>
        </w:rPr>
      </w:pPr>
      <w:r w:rsidRPr="003D7421">
        <w:rPr>
          <w:rStyle w:val="FootnoteReference"/>
          <w:rFonts w:cs="Calibri"/>
        </w:rPr>
        <w:footnoteRef/>
      </w:r>
      <w:r w:rsidRPr="003D7421">
        <w:rPr>
          <w:rFonts w:cs="Calibri"/>
        </w:rPr>
        <w:t xml:space="preserve"> Gonzalez, R.P., Faller, K.C., Ortega, R., &amp; </w:t>
      </w:r>
      <w:proofErr w:type="spellStart"/>
      <w:r w:rsidRPr="003D7421">
        <w:rPr>
          <w:rFonts w:cs="Calibri"/>
        </w:rPr>
        <w:t>Tropman</w:t>
      </w:r>
      <w:proofErr w:type="spellEnd"/>
      <w:r w:rsidRPr="003D7421">
        <w:rPr>
          <w:rFonts w:cs="Calibri"/>
        </w:rPr>
        <w:t xml:space="preserve">, J. (2009). Exit interviews with departed child welfare workers: Preliminary findings. </w:t>
      </w:r>
      <w:r w:rsidRPr="003D7421">
        <w:rPr>
          <w:rFonts w:cs="Calibri"/>
          <w:i/>
          <w:iCs/>
        </w:rPr>
        <w:t>Journal of Public Child Welfare, 3</w:t>
      </w:r>
      <w:r w:rsidRPr="003D7421">
        <w:rPr>
          <w:rFonts w:cs="Calibri"/>
        </w:rPr>
        <w:t>, 40-63.</w:t>
      </w:r>
    </w:p>
  </w:footnote>
  <w:footnote w:id="22">
    <w:p w14:paraId="304FF66B" w14:textId="77777777" w:rsidR="006044F1" w:rsidRPr="003D7421" w:rsidRDefault="006044F1" w:rsidP="007F5C35">
      <w:pPr>
        <w:pStyle w:val="FootnoteText"/>
        <w:spacing w:after="0"/>
        <w:rPr>
          <w:rFonts w:cs="Calibri"/>
        </w:rPr>
      </w:pPr>
      <w:r w:rsidRPr="003D7421">
        <w:rPr>
          <w:rStyle w:val="FootnoteReference"/>
          <w:rFonts w:cs="Calibri"/>
        </w:rPr>
        <w:footnoteRef/>
      </w:r>
      <w:r w:rsidRPr="003D7421">
        <w:rPr>
          <w:rFonts w:cs="Calibri"/>
        </w:rPr>
        <w:t xml:space="preserve"> </w:t>
      </w:r>
      <w:proofErr w:type="spellStart"/>
      <w:r w:rsidRPr="003D7421">
        <w:rPr>
          <w:rFonts w:cs="Calibri"/>
        </w:rPr>
        <w:t>Antonopoulou</w:t>
      </w:r>
      <w:proofErr w:type="spellEnd"/>
      <w:r w:rsidRPr="003D7421">
        <w:rPr>
          <w:rFonts w:cs="Calibri"/>
        </w:rPr>
        <w:t xml:space="preserve">, P., Killian, M., &amp; Forrester, D. (2017). Levels of stress and anxiety in child and family social work: Workers' perceptions of organizational structure, professional support and workplace opportunities in Children's Services in the UK. </w:t>
      </w:r>
      <w:r w:rsidRPr="003D7421">
        <w:rPr>
          <w:rFonts w:cs="Calibri"/>
          <w:i/>
          <w:iCs/>
        </w:rPr>
        <w:t>Children and Youth Services Review, 76</w:t>
      </w:r>
      <w:r w:rsidRPr="003D7421">
        <w:rPr>
          <w:rFonts w:cs="Calibri"/>
        </w:rPr>
        <w:t xml:space="preserve">, 42-50. </w:t>
      </w:r>
      <w:proofErr w:type="spellStart"/>
      <w:r w:rsidRPr="003D7421">
        <w:rPr>
          <w:rFonts w:cs="Calibri"/>
        </w:rPr>
        <w:t>Barck</w:t>
      </w:r>
      <w:proofErr w:type="spellEnd"/>
      <w:r w:rsidRPr="003D7421">
        <w:rPr>
          <w:rFonts w:cs="Calibri"/>
        </w:rPr>
        <w:t xml:space="preserve">-Holst P., </w:t>
      </w:r>
      <w:proofErr w:type="spellStart"/>
      <w:r w:rsidRPr="003D7421">
        <w:rPr>
          <w:rFonts w:cs="Calibri"/>
        </w:rPr>
        <w:t>Nilsonne</w:t>
      </w:r>
      <w:proofErr w:type="spellEnd"/>
      <w:r w:rsidRPr="003D7421">
        <w:rPr>
          <w:rFonts w:cs="Calibri"/>
        </w:rPr>
        <w:t xml:space="preserve">, A., </w:t>
      </w:r>
      <w:proofErr w:type="spellStart"/>
      <w:r w:rsidRPr="003D7421">
        <w:rPr>
          <w:rFonts w:cs="Calibri"/>
        </w:rPr>
        <w:t>Åkerstedt</w:t>
      </w:r>
      <w:proofErr w:type="spellEnd"/>
      <w:r w:rsidRPr="003D7421">
        <w:rPr>
          <w:rFonts w:cs="Calibri"/>
        </w:rPr>
        <w:t xml:space="preserve">, T., &amp; </w:t>
      </w:r>
      <w:proofErr w:type="spellStart"/>
      <w:r w:rsidRPr="003D7421">
        <w:rPr>
          <w:rFonts w:cs="Calibri"/>
        </w:rPr>
        <w:t>Hellgren</w:t>
      </w:r>
      <w:proofErr w:type="spellEnd"/>
      <w:r w:rsidRPr="003D7421">
        <w:rPr>
          <w:rFonts w:cs="Calibri"/>
        </w:rPr>
        <w:t xml:space="preserve">, C. (2015). Reduced working hours and stress in the Swedish social services: A longitudinal study. </w:t>
      </w:r>
      <w:r w:rsidRPr="003D7421">
        <w:rPr>
          <w:rFonts w:cs="Calibri"/>
          <w:i/>
          <w:iCs/>
        </w:rPr>
        <w:t>International Social Work, 60</w:t>
      </w:r>
      <w:r w:rsidRPr="003D7421">
        <w:rPr>
          <w:rFonts w:cs="Calibri"/>
        </w:rPr>
        <w:t>, 897-913.</w:t>
      </w:r>
    </w:p>
  </w:footnote>
  <w:footnote w:id="23">
    <w:p w14:paraId="32F0FE43" w14:textId="15FAC9F2" w:rsidR="006044F1" w:rsidRPr="002C4C54" w:rsidRDefault="006044F1" w:rsidP="007F5C35">
      <w:pPr>
        <w:pStyle w:val="FootnoteText"/>
        <w:spacing w:after="0"/>
      </w:pPr>
      <w:r>
        <w:rPr>
          <w:rStyle w:val="FootnoteReference"/>
        </w:rPr>
        <w:footnoteRef/>
      </w:r>
      <w:r>
        <w:t xml:space="preserve"> </w:t>
      </w:r>
      <w:proofErr w:type="spellStart"/>
      <w:r>
        <w:t>Jacquet</w:t>
      </w:r>
      <w:proofErr w:type="spellEnd"/>
      <w:r>
        <w:t xml:space="preserve">, S.E., Clark, S.J., </w:t>
      </w:r>
      <w:proofErr w:type="spellStart"/>
      <w:r>
        <w:t>Morazes</w:t>
      </w:r>
      <w:proofErr w:type="spellEnd"/>
      <w:r>
        <w:t xml:space="preserve">, J.L., &amp; Withers, R. (2008). The role of supervision in the retention of child welfare workers. </w:t>
      </w:r>
      <w:r>
        <w:rPr>
          <w:i/>
        </w:rPr>
        <w:t xml:space="preserve">Journal of Public Child Welfare, 1, </w:t>
      </w:r>
      <w:r>
        <w:t>27-54.</w:t>
      </w:r>
    </w:p>
  </w:footnote>
  <w:footnote w:id="24">
    <w:p w14:paraId="254F22F5" w14:textId="113E08AD" w:rsidR="006044F1" w:rsidRPr="000C3123" w:rsidRDefault="006044F1" w:rsidP="007F5C35">
      <w:pPr>
        <w:pStyle w:val="FootnoteText"/>
        <w:spacing w:after="0"/>
        <w:rPr>
          <w:rFonts w:cs="Calibri"/>
        </w:rPr>
      </w:pPr>
      <w:r>
        <w:rPr>
          <w:rStyle w:val="FootnoteReference"/>
        </w:rPr>
        <w:footnoteRef/>
      </w:r>
      <w:r>
        <w:t xml:space="preserve"> </w:t>
      </w:r>
      <w:r w:rsidRPr="003F04B4">
        <w:rPr>
          <w:rFonts w:cs="Calibri"/>
        </w:rPr>
        <w:t xml:space="preserve">National Council on Crime and Delinquency (2006). </w:t>
      </w:r>
      <w:r w:rsidRPr="003F04B4">
        <w:rPr>
          <w:rFonts w:cs="Calibri"/>
          <w:i/>
        </w:rPr>
        <w:t>Relationship between staff turnover, child welfare system functioning and recurrent child abuse.</w:t>
      </w:r>
      <w:r w:rsidRPr="003F04B4">
        <w:rPr>
          <w:rFonts w:cs="Calibri"/>
        </w:rPr>
        <w:t xml:space="preserve"> Retrieved from: </w:t>
      </w:r>
      <w:hyperlink r:id="rId10" w:history="1">
        <w:r w:rsidRPr="003F04B4">
          <w:rPr>
            <w:rStyle w:val="Hyperlink"/>
            <w:rFonts w:cs="Calibri"/>
          </w:rPr>
          <w:t>https://www.michigan.gov/documents/gtfcj/Staff_Turnover__Recurrent_CA-3-06-NCCA_187006_7.pdf</w:t>
        </w:r>
      </w:hyperlink>
    </w:p>
  </w:footnote>
  <w:footnote w:id="25">
    <w:p w14:paraId="395DA47F" w14:textId="72E97673" w:rsidR="006044F1" w:rsidRDefault="006044F1" w:rsidP="00097E03">
      <w:pPr>
        <w:pStyle w:val="FootnoteText"/>
        <w:spacing w:after="0"/>
      </w:pPr>
      <w:r>
        <w:rPr>
          <w:rStyle w:val="FootnoteReference"/>
        </w:rPr>
        <w:footnoteRef/>
      </w:r>
      <w:r>
        <w:t xml:space="preserve"> Bureau of Labor Statistics, U.S. Department of Labor. (2019, February 15). </w:t>
      </w:r>
      <w:r w:rsidRPr="00097E03">
        <w:rPr>
          <w:i/>
        </w:rPr>
        <w:t>Occupational Outlook Handbook, Social Workers</w:t>
      </w:r>
      <w:r>
        <w:t>. Retrieved from https://www.bls.gov/ooh/community-and-social-service/social-workers.htm.</w:t>
      </w:r>
    </w:p>
  </w:footnote>
  <w:footnote w:id="26">
    <w:p w14:paraId="3B6F96DD" w14:textId="56E0210A" w:rsidR="006044F1" w:rsidRPr="004362AE" w:rsidRDefault="006044F1" w:rsidP="004362AE">
      <w:pPr>
        <w:pStyle w:val="FootnoteText"/>
        <w:spacing w:after="0"/>
        <w:rPr>
          <w:rFonts w:cstheme="majorHAnsi"/>
        </w:rPr>
      </w:pPr>
      <w:r>
        <w:rPr>
          <w:rStyle w:val="FootnoteReference"/>
        </w:rPr>
        <w:footnoteRef/>
      </w:r>
      <w:r>
        <w:t xml:space="preserve"> </w:t>
      </w:r>
      <w:r w:rsidRPr="003F04B4">
        <w:rPr>
          <w:rFonts w:cs="Calibri"/>
        </w:rPr>
        <w:t xml:space="preserve">U.S. Government Accountability Office. (2003). </w:t>
      </w:r>
      <w:r w:rsidRPr="003F04B4">
        <w:rPr>
          <w:rFonts w:cs="Calibri"/>
          <w:i/>
        </w:rPr>
        <w:t xml:space="preserve">Child welfare: HHS could play a greater role in helping child welfare agencies recruit and retain staff </w:t>
      </w:r>
      <w:r w:rsidRPr="003F04B4">
        <w:rPr>
          <w:rFonts w:cs="Calibri"/>
        </w:rPr>
        <w:t>(GAO-03-357). Washington, DC: Author.</w:t>
      </w:r>
      <w:r>
        <w:rPr>
          <w:rFonts w:ascii="Arial" w:hAnsi="Arial"/>
        </w:rPr>
        <w:t xml:space="preserve"> </w:t>
      </w:r>
      <w:proofErr w:type="spellStart"/>
      <w:r w:rsidRPr="004362AE">
        <w:rPr>
          <w:rFonts w:cstheme="majorHAnsi"/>
        </w:rPr>
        <w:t>Hollinsworth</w:t>
      </w:r>
      <w:proofErr w:type="spellEnd"/>
      <w:r w:rsidRPr="004362AE">
        <w:rPr>
          <w:rFonts w:cstheme="majorHAnsi"/>
        </w:rPr>
        <w:t xml:space="preserve">, L.D., </w:t>
      </w:r>
      <w:proofErr w:type="spellStart"/>
      <w:r w:rsidRPr="004362AE">
        <w:rPr>
          <w:rFonts w:cstheme="majorHAnsi"/>
        </w:rPr>
        <w:t>Bybee</w:t>
      </w:r>
      <w:proofErr w:type="spellEnd"/>
      <w:r w:rsidRPr="004362AE">
        <w:rPr>
          <w:rFonts w:cstheme="majorHAnsi"/>
        </w:rPr>
        <w:t xml:space="preserve">, D., Johnson, E.I., &amp; </w:t>
      </w:r>
      <w:proofErr w:type="spellStart"/>
      <w:r w:rsidRPr="004362AE">
        <w:rPr>
          <w:rFonts w:cstheme="majorHAnsi"/>
        </w:rPr>
        <w:t>Swick</w:t>
      </w:r>
      <w:proofErr w:type="spellEnd"/>
      <w:r w:rsidRPr="004362AE">
        <w:rPr>
          <w:rFonts w:cstheme="majorHAnsi"/>
        </w:rPr>
        <w:t xml:space="preserve">, D. (2010). A comparison of caseworker characteristics in public and private foster care agencies. </w:t>
      </w:r>
      <w:r w:rsidRPr="004362AE">
        <w:rPr>
          <w:rFonts w:cstheme="majorHAnsi"/>
          <w:i/>
        </w:rPr>
        <w:t>Children and Youth Services Review, 32</w:t>
      </w:r>
      <w:r w:rsidRPr="004362AE">
        <w:rPr>
          <w:rFonts w:cstheme="majorHAnsi"/>
        </w:rPr>
        <w:t xml:space="preserve">, 578-584. </w:t>
      </w:r>
    </w:p>
  </w:footnote>
  <w:footnote w:id="27">
    <w:p w14:paraId="2C41204C" w14:textId="77777777" w:rsidR="006044F1" w:rsidRPr="00784D61" w:rsidRDefault="006044F1" w:rsidP="00553B24">
      <w:pPr>
        <w:pStyle w:val="FootnoteText"/>
        <w:spacing w:after="0"/>
        <w:rPr>
          <w:i/>
        </w:rPr>
      </w:pPr>
      <w:r>
        <w:rPr>
          <w:rStyle w:val="FootnoteReference"/>
        </w:rPr>
        <w:footnoteRef/>
      </w:r>
      <w:r>
        <w:t xml:space="preserve"> </w:t>
      </w:r>
      <w:proofErr w:type="spellStart"/>
      <w:r>
        <w:t>Auerbach</w:t>
      </w:r>
      <w:proofErr w:type="spellEnd"/>
      <w:r>
        <w:t xml:space="preserve">, C., McGowan, B.G., </w:t>
      </w:r>
      <w:proofErr w:type="spellStart"/>
      <w:r>
        <w:t>Ausberger</w:t>
      </w:r>
      <w:proofErr w:type="spellEnd"/>
      <w:r>
        <w:t xml:space="preserve">, A., </w:t>
      </w:r>
      <w:proofErr w:type="spellStart"/>
      <w:r>
        <w:t>Strolin-Goltzman</w:t>
      </w:r>
      <w:proofErr w:type="spellEnd"/>
      <w:r>
        <w:t xml:space="preserve">, J., &amp; </w:t>
      </w:r>
      <w:proofErr w:type="spellStart"/>
      <w:r>
        <w:t>Schudrich</w:t>
      </w:r>
      <w:proofErr w:type="spellEnd"/>
      <w:r>
        <w:t xml:space="preserve">, W. (2010). Differential factors influencing public and voluntary child welfare workers’ intention to leave. </w:t>
      </w:r>
      <w:r>
        <w:rPr>
          <w:i/>
        </w:rPr>
        <w:t xml:space="preserve">Children and Youth Services Review, 32, </w:t>
      </w:r>
      <w:r w:rsidRPr="00784D61">
        <w:t>1396-1402</w:t>
      </w:r>
      <w:r>
        <w:rPr>
          <w:i/>
        </w:rPr>
        <w:t>.</w:t>
      </w:r>
    </w:p>
  </w:footnote>
  <w:footnote w:id="28">
    <w:p w14:paraId="128EEFF9" w14:textId="77777777" w:rsidR="006044F1" w:rsidRPr="00DD3FA7" w:rsidRDefault="006044F1" w:rsidP="00097E03">
      <w:pPr>
        <w:pStyle w:val="FootnoteText"/>
        <w:spacing w:after="0"/>
      </w:pPr>
      <w:r w:rsidRPr="00DD3FA7">
        <w:rPr>
          <w:rStyle w:val="FootnoteReference"/>
        </w:rPr>
        <w:footnoteRef/>
      </w:r>
      <w:r w:rsidRPr="00DD3FA7">
        <w:t xml:space="preserve"> Schweitzer, D., </w:t>
      </w:r>
      <w:proofErr w:type="spellStart"/>
      <w:r w:rsidRPr="00DD3FA7">
        <w:t>Chianello</w:t>
      </w:r>
      <w:proofErr w:type="spellEnd"/>
      <w:r w:rsidRPr="00DD3FA7">
        <w:t xml:space="preserve">, T., Kothari, B.H. (2013). Compensation in social work: Critical for satisfaction and a sustainable profession. </w:t>
      </w:r>
      <w:r w:rsidRPr="00D81E24">
        <w:rPr>
          <w:i/>
        </w:rPr>
        <w:t>Administration in Social Work, 37</w:t>
      </w:r>
      <w:r w:rsidRPr="00DD3FA7">
        <w:t>, 147-157.</w:t>
      </w:r>
      <w:r w:rsidRPr="00E32F3C">
        <w:t xml:space="preserve"> </w:t>
      </w:r>
      <w:proofErr w:type="spellStart"/>
      <w:r w:rsidRPr="00E32F3C">
        <w:t>Scannapieco</w:t>
      </w:r>
      <w:proofErr w:type="spellEnd"/>
      <w:r w:rsidRPr="00E32F3C">
        <w:t>, M</w:t>
      </w:r>
      <w:r>
        <w:t>., &amp;</w:t>
      </w:r>
      <w:r w:rsidRPr="00E32F3C">
        <w:t xml:space="preserve"> Connell-Carrick, K. </w:t>
      </w:r>
      <w:r>
        <w:t>(</w:t>
      </w:r>
      <w:r w:rsidRPr="00E32F3C">
        <w:t>2007</w:t>
      </w:r>
      <w:r>
        <w:t>)</w:t>
      </w:r>
      <w:r w:rsidRPr="00E32F3C">
        <w:t xml:space="preserve">. Child welfare workplace: The state of the workforce and strategies to improve retention. </w:t>
      </w:r>
      <w:r w:rsidRPr="00D81E24">
        <w:rPr>
          <w:i/>
        </w:rPr>
        <w:t>Child Welfare, 86</w:t>
      </w:r>
      <w:r>
        <w:t>,</w:t>
      </w:r>
      <w:r w:rsidRPr="00E32F3C">
        <w:t xml:space="preserve"> 31</w:t>
      </w:r>
      <w:r>
        <w:t>-</w:t>
      </w:r>
      <w:r w:rsidRPr="00E32F3C">
        <w:t>52.</w:t>
      </w:r>
    </w:p>
  </w:footnote>
  <w:footnote w:id="29">
    <w:p w14:paraId="1098EE04" w14:textId="77777777" w:rsidR="006044F1" w:rsidRPr="00DD3FA7" w:rsidRDefault="006044F1" w:rsidP="00AE31CB">
      <w:pPr>
        <w:pStyle w:val="FootnoteText"/>
        <w:spacing w:after="0"/>
      </w:pPr>
      <w:r w:rsidRPr="00DD3FA7">
        <w:rPr>
          <w:rStyle w:val="FootnoteReference"/>
        </w:rPr>
        <w:footnoteRef/>
      </w:r>
      <w:r w:rsidRPr="00DD3FA7">
        <w:t xml:space="preserve"> Acker, G.M. (2004). The effect of organizational conditions (role conflict, role ambiguity, opportunities for professional development, and social support) on job satisfaction and intention to leave among social workers in mental health care. </w:t>
      </w:r>
      <w:r w:rsidRPr="00D81E24">
        <w:rPr>
          <w:i/>
        </w:rPr>
        <w:t>Community Mental Health Journal, 40,</w:t>
      </w:r>
      <w:r w:rsidRPr="00DD3FA7">
        <w:t xml:space="preserve"> 65-73.</w:t>
      </w:r>
    </w:p>
  </w:footnote>
  <w:footnote w:id="30">
    <w:p w14:paraId="55EFB8AA" w14:textId="77777777" w:rsidR="006044F1" w:rsidRPr="000E5D6B" w:rsidRDefault="006044F1" w:rsidP="0079575D">
      <w:pPr>
        <w:pStyle w:val="FootnoteText"/>
        <w:spacing w:after="0"/>
      </w:pPr>
      <w:r w:rsidRPr="000E5D6B">
        <w:rPr>
          <w:rStyle w:val="FootnoteReference"/>
        </w:rPr>
        <w:footnoteRef/>
      </w:r>
      <w:r w:rsidRPr="000E5D6B">
        <w:t xml:space="preserve"> Chen, Y.Y., Park, J.,</w:t>
      </w:r>
      <w:r>
        <w:t xml:space="preserve"> </w:t>
      </w:r>
      <w:r w:rsidRPr="000E5D6B">
        <w:t xml:space="preserve">&amp; Park, A. (2012). Existence, relatedness, or growth? Examining turnover intention, of public child welfare caseworkers from a human needs approach. </w:t>
      </w:r>
      <w:r w:rsidRPr="00D81E24">
        <w:rPr>
          <w:i/>
        </w:rPr>
        <w:t>Children and Youth Services Review, 34</w:t>
      </w:r>
      <w:r w:rsidRPr="000E5D6B">
        <w:t>, 2088</w:t>
      </w:r>
      <w:r>
        <w:t>-</w:t>
      </w:r>
      <w:r w:rsidRPr="000E5D6B">
        <w:t>2093.</w:t>
      </w:r>
      <w:r>
        <w:t xml:space="preserve"> </w:t>
      </w:r>
      <w:r w:rsidRPr="002620CC">
        <w:t xml:space="preserve">Smith, B.D. (2005). Job retention in child welfare: Effects of perceived organizational support, supervisor support, and intrinsic job value. </w:t>
      </w:r>
      <w:r w:rsidRPr="00D81E24">
        <w:rPr>
          <w:i/>
        </w:rPr>
        <w:t>Children and Youth Services Review, 27</w:t>
      </w:r>
      <w:r w:rsidRPr="002620CC">
        <w:t>, 153</w:t>
      </w:r>
      <w:r>
        <w:t>-</w:t>
      </w:r>
      <w:r w:rsidRPr="002620CC">
        <w:t>169.</w:t>
      </w:r>
      <w:r>
        <w:t xml:space="preserve"> </w:t>
      </w:r>
      <w:proofErr w:type="spellStart"/>
      <w:r w:rsidRPr="00DD3FA7">
        <w:t>Herschell</w:t>
      </w:r>
      <w:proofErr w:type="spellEnd"/>
      <w:r w:rsidRPr="00DD3FA7">
        <w:t xml:space="preserve">, A.D., </w:t>
      </w:r>
      <w:proofErr w:type="spellStart"/>
      <w:r w:rsidRPr="00DD3FA7">
        <w:t>Kolko</w:t>
      </w:r>
      <w:proofErr w:type="spellEnd"/>
      <w:r w:rsidRPr="00DD3FA7">
        <w:t xml:space="preserve">, D.J., Hart, J.A., </w:t>
      </w:r>
      <w:proofErr w:type="spellStart"/>
      <w:r w:rsidRPr="00DD3FA7">
        <w:t>Brabson</w:t>
      </w:r>
      <w:proofErr w:type="spellEnd"/>
      <w:r w:rsidRPr="00DD3FA7">
        <w:t xml:space="preserve">, L.A., &amp; Gavin, J.C. (2020). Mixed method study of workforce turnover and evidence-based treatment implementation in community behavioral health settings. </w:t>
      </w:r>
      <w:r w:rsidRPr="00D81E24">
        <w:rPr>
          <w:i/>
        </w:rPr>
        <w:t>Child Abuse &amp; Neglect, 102</w:t>
      </w:r>
      <w:r>
        <w:t xml:space="preserve">. </w:t>
      </w:r>
    </w:p>
  </w:footnote>
  <w:footnote w:id="31">
    <w:p w14:paraId="604EA150" w14:textId="1F871FC5" w:rsidR="006044F1" w:rsidRPr="009D5B67" w:rsidRDefault="006044F1" w:rsidP="0079575D">
      <w:pPr>
        <w:pStyle w:val="FootnoteText"/>
        <w:spacing w:after="0"/>
        <w:rPr>
          <w:rFonts w:cs="Arial"/>
        </w:rPr>
      </w:pPr>
      <w:r w:rsidRPr="009D5B67">
        <w:rPr>
          <w:rStyle w:val="FootnoteReference"/>
          <w:rFonts w:cs="Arial"/>
        </w:rPr>
        <w:footnoteRef/>
      </w:r>
      <w:r w:rsidRPr="009D5B67">
        <w:rPr>
          <w:rFonts w:cs="Arial"/>
        </w:rPr>
        <w:t xml:space="preserve"> Kim, H., &amp; Kao, D. (2014). A meta-analysis of turnover intention predictors among U.S. child welfare worker</w:t>
      </w:r>
      <w:r>
        <w:rPr>
          <w:rFonts w:cs="Arial"/>
        </w:rPr>
        <w:t>s</w:t>
      </w:r>
      <w:r w:rsidRPr="009D5B67">
        <w:rPr>
          <w:rFonts w:cs="Arial"/>
        </w:rPr>
        <w:t xml:space="preserve">. </w:t>
      </w:r>
      <w:r w:rsidRPr="00E82422">
        <w:rPr>
          <w:rFonts w:cs="Arial"/>
          <w:i/>
        </w:rPr>
        <w:t>Children and Youth Services Review</w:t>
      </w:r>
      <w:r w:rsidRPr="009D5B67">
        <w:rPr>
          <w:rFonts w:cs="Arial"/>
        </w:rPr>
        <w:t xml:space="preserve">, </w:t>
      </w:r>
      <w:r w:rsidRPr="00060326">
        <w:rPr>
          <w:rFonts w:cs="Arial"/>
          <w:i/>
        </w:rPr>
        <w:t>47</w:t>
      </w:r>
      <w:r w:rsidRPr="009D5B67">
        <w:rPr>
          <w:rFonts w:cs="Arial"/>
        </w:rPr>
        <w:t>, 214-223.</w:t>
      </w:r>
    </w:p>
  </w:footnote>
  <w:footnote w:id="32">
    <w:p w14:paraId="7EF52053" w14:textId="497B8413" w:rsidR="006044F1" w:rsidRDefault="006044F1" w:rsidP="0079575D">
      <w:pPr>
        <w:pStyle w:val="FootnoteText"/>
        <w:spacing w:after="0"/>
      </w:pPr>
      <w:r>
        <w:rPr>
          <w:rStyle w:val="FootnoteReference"/>
        </w:rPr>
        <w:footnoteRef/>
      </w:r>
      <w:r>
        <w:t xml:space="preserve"> Faller, K.C., </w:t>
      </w:r>
      <w:proofErr w:type="spellStart"/>
      <w:r>
        <w:t>Grabarek</w:t>
      </w:r>
      <w:proofErr w:type="spellEnd"/>
      <w:r>
        <w:t xml:space="preserve">, M., &amp; Ortega, R.M. (2010). Commitment to child welfare work: What predicts leaving and staying? </w:t>
      </w:r>
      <w:r w:rsidRPr="005D79C7">
        <w:rPr>
          <w:i/>
        </w:rPr>
        <w:t>Children and Youth Services Review, 32</w:t>
      </w:r>
      <w:r>
        <w:t>, 840-846.</w:t>
      </w:r>
    </w:p>
  </w:footnote>
  <w:footnote w:id="33">
    <w:p w14:paraId="26FEF9D9" w14:textId="163EEC13" w:rsidR="006044F1" w:rsidRDefault="006044F1" w:rsidP="0079575D">
      <w:pPr>
        <w:pStyle w:val="FootnoteText"/>
        <w:spacing w:after="0"/>
      </w:pPr>
      <w:r>
        <w:rPr>
          <w:rStyle w:val="FootnoteReference"/>
        </w:rPr>
        <w:footnoteRef/>
      </w:r>
      <w:r>
        <w:t xml:space="preserve"> </w:t>
      </w:r>
      <w:r w:rsidRPr="0079575D">
        <w:t>Prospective child welfare employees may review Realistic Job Previews (RJPs) before or during their job interviews as one strategy to assess their goodness of fit for child welfare positions. Realistic job previews can be presented in various formats, including videos, online and face-to-face presentations, panel presentations or onsite meetings, structured observations/job tours, and written brochures or booklets.  Based on Faller and colleagues (2009) review of 11 states’ use of RJPs, they are an average of 30 minutes in length (range: 11-36 minutes), and most use worker/supervisor narratives and mock client interviews. Some of the products feature footage of actual clients with agency administrators to highlight substantive elements of substantive and process-oriented tasks associated with case management</w:t>
      </w:r>
      <w:r>
        <w:t>.</w:t>
      </w:r>
    </w:p>
  </w:footnote>
  <w:footnote w:id="34">
    <w:p w14:paraId="438F5B05" w14:textId="77777777" w:rsidR="006044F1" w:rsidRPr="009D5B67" w:rsidRDefault="006044F1" w:rsidP="0079575D">
      <w:pPr>
        <w:pStyle w:val="FootnoteText"/>
        <w:spacing w:after="0"/>
      </w:pPr>
      <w:r w:rsidRPr="009D5B67">
        <w:rPr>
          <w:rStyle w:val="FootnoteReference"/>
        </w:rPr>
        <w:footnoteRef/>
      </w:r>
      <w:r w:rsidRPr="009D5B67">
        <w:t xml:space="preserve"> Barth, R.P., Lloyd C, Christ, S.L., Chapman, M.V., &amp; Dickson, N.S. (2008). Child welfare workers characteristics and job satisfaction: A national study. </w:t>
      </w:r>
      <w:r w:rsidRPr="009D5B67">
        <w:rPr>
          <w:i/>
        </w:rPr>
        <w:t>Social Work</w:t>
      </w:r>
      <w:r w:rsidRPr="009D5B67">
        <w:t xml:space="preserve">, </w:t>
      </w:r>
      <w:r w:rsidRPr="00060326">
        <w:rPr>
          <w:i/>
        </w:rPr>
        <w:t>53</w:t>
      </w:r>
      <w:r w:rsidRPr="009D5B67">
        <w:t xml:space="preserve">, 199-209. </w:t>
      </w:r>
    </w:p>
  </w:footnote>
  <w:footnote w:id="35">
    <w:p w14:paraId="661DFF3E" w14:textId="77777777" w:rsidR="006044F1" w:rsidRDefault="006044F1" w:rsidP="00484644">
      <w:pPr>
        <w:pStyle w:val="FootnoteText"/>
        <w:spacing w:after="0"/>
      </w:pPr>
      <w:r w:rsidRPr="00903801">
        <w:rPr>
          <w:rStyle w:val="FootnoteReference"/>
        </w:rPr>
        <w:footnoteRef/>
      </w:r>
      <w:r w:rsidRPr="00903801">
        <w:t xml:space="preserve"> U.S. Government Accountability Office. (2003). </w:t>
      </w:r>
      <w:r w:rsidRPr="00060326">
        <w:rPr>
          <w:i/>
        </w:rPr>
        <w:t xml:space="preserve">Child welfare: HHS could play a greater role in helping child welfare agencies recruit and retain staff </w:t>
      </w:r>
      <w:r w:rsidRPr="007606B2">
        <w:t>(GAO-03-357). Washington, DC: Author.</w:t>
      </w:r>
    </w:p>
  </w:footnote>
  <w:footnote w:id="36">
    <w:p w14:paraId="0129AB59" w14:textId="77777777" w:rsidR="006044F1" w:rsidRPr="009D5B67" w:rsidRDefault="006044F1" w:rsidP="0001356A">
      <w:pPr>
        <w:pStyle w:val="FootnoteText"/>
        <w:spacing w:after="0"/>
        <w:rPr>
          <w:rFonts w:cs="Arial"/>
        </w:rPr>
      </w:pPr>
      <w:r w:rsidRPr="009D5B67">
        <w:rPr>
          <w:rStyle w:val="FootnoteReference"/>
          <w:rFonts w:cs="Arial"/>
        </w:rPr>
        <w:footnoteRef/>
      </w:r>
      <w:r w:rsidRPr="009D5B67">
        <w:rPr>
          <w:rFonts w:cs="Arial"/>
        </w:rPr>
        <w:t xml:space="preserve"> </w:t>
      </w:r>
      <w:proofErr w:type="spellStart"/>
      <w:proofErr w:type="gramStart"/>
      <w:r w:rsidRPr="009D5B67">
        <w:rPr>
          <w:rStyle w:val="hlfld-contribauthor"/>
          <w:rFonts w:cs="Arial"/>
        </w:rPr>
        <w:t>Mor</w:t>
      </w:r>
      <w:proofErr w:type="spellEnd"/>
      <w:proofErr w:type="gramEnd"/>
      <w:r w:rsidRPr="009D5B67">
        <w:rPr>
          <w:rStyle w:val="hlfld-contribauthor"/>
          <w:rFonts w:cs="Arial"/>
        </w:rPr>
        <w:t xml:space="preserve"> Barak, </w:t>
      </w:r>
      <w:r w:rsidRPr="009D5B67">
        <w:rPr>
          <w:rStyle w:val="nlmgiven-names"/>
          <w:rFonts w:cs="Arial"/>
        </w:rPr>
        <w:t>M.E.</w:t>
      </w:r>
      <w:r w:rsidRPr="009D5B67">
        <w:rPr>
          <w:rFonts w:cs="Arial"/>
        </w:rPr>
        <w:t xml:space="preserve">, </w:t>
      </w:r>
      <w:proofErr w:type="spellStart"/>
      <w:r w:rsidRPr="009D5B67">
        <w:rPr>
          <w:rStyle w:val="hlfld-contribauthor"/>
          <w:rFonts w:cs="Arial"/>
        </w:rPr>
        <w:t>Nissly</w:t>
      </w:r>
      <w:proofErr w:type="spellEnd"/>
      <w:r w:rsidRPr="009D5B67">
        <w:rPr>
          <w:rStyle w:val="hlfld-contribauthor"/>
          <w:rFonts w:cs="Arial"/>
        </w:rPr>
        <w:t xml:space="preserve">, </w:t>
      </w:r>
      <w:r w:rsidRPr="009D5B67">
        <w:rPr>
          <w:rStyle w:val="nlmgiven-names"/>
          <w:rFonts w:cs="Arial"/>
        </w:rPr>
        <w:t>J.A.</w:t>
      </w:r>
      <w:r w:rsidRPr="009D5B67">
        <w:rPr>
          <w:rFonts w:cs="Arial"/>
        </w:rPr>
        <w:t xml:space="preserve"> &amp; </w:t>
      </w:r>
      <w:r w:rsidRPr="009D5B67">
        <w:rPr>
          <w:rStyle w:val="hlfld-contribauthor"/>
          <w:rFonts w:cs="Arial"/>
        </w:rPr>
        <w:t xml:space="preserve">Levin, </w:t>
      </w:r>
      <w:r w:rsidRPr="009D5B67">
        <w:rPr>
          <w:rStyle w:val="nlmgiven-names"/>
          <w:rFonts w:cs="Arial"/>
        </w:rPr>
        <w:t>A.</w:t>
      </w:r>
      <w:r w:rsidRPr="009D5B67">
        <w:rPr>
          <w:rFonts w:cs="Arial"/>
        </w:rPr>
        <w:t xml:space="preserve"> (</w:t>
      </w:r>
      <w:r w:rsidRPr="009D5B67">
        <w:rPr>
          <w:rStyle w:val="nlmyear"/>
          <w:rFonts w:cs="Arial"/>
        </w:rPr>
        <w:t>2001)</w:t>
      </w:r>
      <w:r w:rsidRPr="009D5B67">
        <w:rPr>
          <w:rFonts w:cs="Arial"/>
        </w:rPr>
        <w:t xml:space="preserve">. </w:t>
      </w:r>
      <w:r w:rsidRPr="009D5B67">
        <w:rPr>
          <w:rStyle w:val="nlmarticle-title"/>
          <w:rFonts w:cs="Arial"/>
        </w:rPr>
        <w:t xml:space="preserve">Antecedents to retention and turnover among child welfare, social work and other human service employees: What can we learn from past research? A review and </w:t>
      </w:r>
      <w:proofErr w:type="spellStart"/>
      <w:r w:rsidRPr="009D5B67">
        <w:rPr>
          <w:rStyle w:val="nlmarticle-title"/>
          <w:rFonts w:cs="Arial"/>
        </w:rPr>
        <w:t>metanalysis</w:t>
      </w:r>
      <w:proofErr w:type="spellEnd"/>
      <w:r w:rsidRPr="009D5B67">
        <w:rPr>
          <w:rStyle w:val="nlmarticle-title"/>
          <w:rFonts w:cs="Arial"/>
        </w:rPr>
        <w:t xml:space="preserve">. </w:t>
      </w:r>
      <w:r w:rsidRPr="009D5B67">
        <w:rPr>
          <w:rFonts w:cs="Arial"/>
          <w:i/>
          <w:iCs/>
        </w:rPr>
        <w:t>Social Service Review</w:t>
      </w:r>
      <w:r w:rsidRPr="009D5B67">
        <w:rPr>
          <w:rFonts w:cs="Arial"/>
        </w:rPr>
        <w:t xml:space="preserve">, </w:t>
      </w:r>
      <w:r w:rsidRPr="00060326">
        <w:rPr>
          <w:rFonts w:cs="Arial"/>
          <w:i/>
        </w:rPr>
        <w:t>75</w:t>
      </w:r>
      <w:r w:rsidRPr="009D5B67">
        <w:rPr>
          <w:rFonts w:cs="Arial"/>
        </w:rPr>
        <w:t xml:space="preserve">, </w:t>
      </w:r>
      <w:r w:rsidRPr="009D5B67">
        <w:rPr>
          <w:rStyle w:val="nlmfpage"/>
          <w:rFonts w:cs="Arial"/>
        </w:rPr>
        <w:t>625</w:t>
      </w:r>
      <w:r w:rsidRPr="009D5B67">
        <w:rPr>
          <w:rFonts w:cs="Arial"/>
        </w:rPr>
        <w:t>–</w:t>
      </w:r>
      <w:r w:rsidRPr="009D5B67">
        <w:rPr>
          <w:rStyle w:val="nlmlpage"/>
          <w:rFonts w:cs="Arial"/>
        </w:rPr>
        <w:t>661</w:t>
      </w:r>
      <w:r w:rsidRPr="009D5B67">
        <w:rPr>
          <w:rFonts w:cs="Arial"/>
        </w:rPr>
        <w:t>.</w:t>
      </w:r>
    </w:p>
  </w:footnote>
  <w:footnote w:id="37">
    <w:p w14:paraId="369F19F9" w14:textId="77777777" w:rsidR="006044F1" w:rsidRPr="00692C6D" w:rsidRDefault="006044F1" w:rsidP="0001356A">
      <w:pPr>
        <w:pStyle w:val="FootnoteText"/>
        <w:spacing w:after="0"/>
        <w:rPr>
          <w:rFonts w:cs="Calibri"/>
        </w:rPr>
      </w:pPr>
      <w:r w:rsidRPr="00692C6D">
        <w:rPr>
          <w:rStyle w:val="FootnoteReference"/>
          <w:rFonts w:cs="Calibri"/>
        </w:rPr>
        <w:footnoteRef/>
      </w:r>
      <w:r w:rsidRPr="00692C6D">
        <w:rPr>
          <w:rFonts w:cs="Calibri"/>
        </w:rPr>
        <w:t xml:space="preserve"> </w:t>
      </w:r>
      <w:proofErr w:type="spellStart"/>
      <w:r w:rsidRPr="00692C6D">
        <w:rPr>
          <w:rFonts w:cs="Calibri"/>
        </w:rPr>
        <w:t>Chernesky</w:t>
      </w:r>
      <w:proofErr w:type="spellEnd"/>
      <w:r w:rsidRPr="00692C6D">
        <w:rPr>
          <w:rFonts w:cs="Calibri"/>
        </w:rPr>
        <w:t xml:space="preserve">, R., &amp; Israel, M. (2009, p. 26). Job expectations and intention to leave in a state child welfare agency. </w:t>
      </w:r>
      <w:r w:rsidRPr="00692C6D">
        <w:rPr>
          <w:rFonts w:cs="Calibri"/>
          <w:i/>
        </w:rPr>
        <w:t>Journal of Public Child Welfare</w:t>
      </w:r>
      <w:r w:rsidRPr="00692C6D">
        <w:rPr>
          <w:rFonts w:cs="Calibri"/>
        </w:rPr>
        <w:t xml:space="preserve">, </w:t>
      </w:r>
      <w:r w:rsidRPr="00692C6D">
        <w:rPr>
          <w:rFonts w:cs="Calibri"/>
          <w:i/>
        </w:rPr>
        <w:t>3</w:t>
      </w:r>
      <w:r w:rsidRPr="00692C6D">
        <w:rPr>
          <w:rFonts w:cs="Calibri"/>
        </w:rPr>
        <w:t xml:space="preserve">, 23-39. </w:t>
      </w:r>
    </w:p>
  </w:footnote>
  <w:footnote w:id="38">
    <w:p w14:paraId="10B4387B" w14:textId="77777777" w:rsidR="006044F1" w:rsidRDefault="006044F1" w:rsidP="0001356A">
      <w:pPr>
        <w:pStyle w:val="FootnoteText"/>
        <w:spacing w:after="0"/>
      </w:pPr>
      <w:r w:rsidRPr="00AC6530">
        <w:rPr>
          <w:rStyle w:val="FootnoteReference"/>
        </w:rPr>
        <w:footnoteRef/>
      </w:r>
      <w:r w:rsidRPr="00AC6530">
        <w:t xml:space="preserve"> </w:t>
      </w:r>
      <w:proofErr w:type="spellStart"/>
      <w:proofErr w:type="gramStart"/>
      <w:r w:rsidRPr="00AC6530">
        <w:rPr>
          <w:rStyle w:val="hlfld-contribauthor"/>
          <w:rFonts w:cs="Arial"/>
        </w:rPr>
        <w:t>Mor</w:t>
      </w:r>
      <w:proofErr w:type="spellEnd"/>
      <w:proofErr w:type="gramEnd"/>
      <w:r w:rsidRPr="00AC6530">
        <w:rPr>
          <w:rStyle w:val="hlfld-contribauthor"/>
          <w:rFonts w:cs="Arial"/>
        </w:rPr>
        <w:t xml:space="preserve"> Barak, </w:t>
      </w:r>
      <w:r w:rsidRPr="00AC6530">
        <w:rPr>
          <w:rStyle w:val="nlmgiven-names"/>
          <w:rFonts w:cs="Arial"/>
        </w:rPr>
        <w:t>M.E.</w:t>
      </w:r>
      <w:r w:rsidRPr="00AC6530">
        <w:rPr>
          <w:rFonts w:cs="Arial"/>
        </w:rPr>
        <w:t xml:space="preserve">, </w:t>
      </w:r>
      <w:proofErr w:type="spellStart"/>
      <w:r w:rsidRPr="00AC6530">
        <w:rPr>
          <w:rStyle w:val="hlfld-contribauthor"/>
          <w:rFonts w:cs="Arial"/>
        </w:rPr>
        <w:t>Nissly</w:t>
      </w:r>
      <w:proofErr w:type="spellEnd"/>
      <w:r w:rsidRPr="00AC6530">
        <w:rPr>
          <w:rStyle w:val="hlfld-contribauthor"/>
          <w:rFonts w:cs="Arial"/>
        </w:rPr>
        <w:t xml:space="preserve">, </w:t>
      </w:r>
      <w:r w:rsidRPr="00AC6530">
        <w:rPr>
          <w:rStyle w:val="nlmgiven-names"/>
          <w:rFonts w:cs="Arial"/>
        </w:rPr>
        <w:t>J.A.</w:t>
      </w:r>
      <w:r w:rsidRPr="00AC6530">
        <w:rPr>
          <w:rFonts w:cs="Arial"/>
        </w:rPr>
        <w:t xml:space="preserve"> &amp; </w:t>
      </w:r>
      <w:r w:rsidRPr="00AC6530">
        <w:rPr>
          <w:rStyle w:val="hlfld-contribauthor"/>
          <w:rFonts w:cs="Arial"/>
        </w:rPr>
        <w:t xml:space="preserve">Levin, </w:t>
      </w:r>
      <w:r w:rsidRPr="00AC6530">
        <w:rPr>
          <w:rStyle w:val="nlmgiven-names"/>
          <w:rFonts w:cs="Arial"/>
        </w:rPr>
        <w:t>A.</w:t>
      </w:r>
      <w:r w:rsidRPr="00AC6530">
        <w:rPr>
          <w:rFonts w:cs="Arial"/>
        </w:rPr>
        <w:t xml:space="preserve"> (</w:t>
      </w:r>
      <w:r w:rsidRPr="00AC6530">
        <w:rPr>
          <w:rStyle w:val="nlmyear"/>
          <w:rFonts w:cs="Arial"/>
        </w:rPr>
        <w:t>2001)</w:t>
      </w:r>
      <w:r w:rsidRPr="00AC6530">
        <w:rPr>
          <w:rFonts w:cs="Arial"/>
        </w:rPr>
        <w:t xml:space="preserve">. </w:t>
      </w:r>
      <w:r w:rsidRPr="00AC6530">
        <w:rPr>
          <w:rStyle w:val="nlmarticle-title"/>
          <w:rFonts w:cs="Arial"/>
        </w:rPr>
        <w:t>Antecedents to retention and turnover among child welfare,</w:t>
      </w:r>
      <w:r w:rsidRPr="009D5B67">
        <w:rPr>
          <w:rStyle w:val="nlmarticle-title"/>
          <w:rFonts w:cs="Arial"/>
        </w:rPr>
        <w:t xml:space="preserve"> social work and other human service employees: What can we learn from past research? A review and </w:t>
      </w:r>
      <w:proofErr w:type="spellStart"/>
      <w:r w:rsidRPr="009D5B67">
        <w:rPr>
          <w:rStyle w:val="nlmarticle-title"/>
          <w:rFonts w:cs="Arial"/>
        </w:rPr>
        <w:t>metanalysis</w:t>
      </w:r>
      <w:proofErr w:type="spellEnd"/>
      <w:r w:rsidRPr="009D5B67">
        <w:rPr>
          <w:rStyle w:val="nlmarticle-title"/>
          <w:rFonts w:cs="Arial"/>
        </w:rPr>
        <w:t xml:space="preserve">. </w:t>
      </w:r>
      <w:r w:rsidRPr="009D5B67">
        <w:rPr>
          <w:rFonts w:cs="Arial"/>
          <w:i/>
          <w:iCs/>
        </w:rPr>
        <w:t>Social Service Review</w:t>
      </w:r>
      <w:r w:rsidRPr="009D5B67">
        <w:rPr>
          <w:rFonts w:cs="Arial"/>
        </w:rPr>
        <w:t xml:space="preserve">, </w:t>
      </w:r>
      <w:r w:rsidRPr="00060326">
        <w:rPr>
          <w:rFonts w:cs="Arial"/>
          <w:i/>
        </w:rPr>
        <w:t>75</w:t>
      </w:r>
      <w:r w:rsidRPr="009D5B67">
        <w:rPr>
          <w:rFonts w:cs="Arial"/>
        </w:rPr>
        <w:t xml:space="preserve">, </w:t>
      </w:r>
      <w:r w:rsidRPr="009D5B67">
        <w:rPr>
          <w:rStyle w:val="nlmfpage"/>
          <w:rFonts w:cs="Arial"/>
        </w:rPr>
        <w:t>625</w:t>
      </w:r>
      <w:r w:rsidRPr="009D5B67">
        <w:rPr>
          <w:rFonts w:cs="Arial"/>
        </w:rPr>
        <w:t>–</w:t>
      </w:r>
      <w:r w:rsidRPr="009D5B67">
        <w:rPr>
          <w:rStyle w:val="nlmlpage"/>
          <w:rFonts w:cs="Arial"/>
        </w:rPr>
        <w:t>661</w:t>
      </w:r>
      <w:r w:rsidRPr="009D5B67">
        <w:rPr>
          <w:rFonts w:cs="Arial"/>
        </w:rPr>
        <w:t>.</w:t>
      </w:r>
    </w:p>
  </w:footnote>
  <w:footnote w:id="39">
    <w:p w14:paraId="6CE78F83" w14:textId="77777777" w:rsidR="006044F1" w:rsidRDefault="006044F1" w:rsidP="00CF088C">
      <w:pPr>
        <w:pStyle w:val="FootnoteText"/>
        <w:spacing w:after="0"/>
      </w:pPr>
      <w:r w:rsidRPr="00EA3B39">
        <w:rPr>
          <w:rStyle w:val="FootnoteReference"/>
        </w:rPr>
        <w:footnoteRef/>
      </w:r>
      <w:r w:rsidRPr="00EA3B39">
        <w:t xml:space="preserve"> </w:t>
      </w:r>
      <w:proofErr w:type="spellStart"/>
      <w:r w:rsidRPr="00692C6D">
        <w:rPr>
          <w:rFonts w:cs="Calibri"/>
        </w:rPr>
        <w:t>Chernesky</w:t>
      </w:r>
      <w:proofErr w:type="spellEnd"/>
      <w:r w:rsidRPr="00692C6D">
        <w:rPr>
          <w:rFonts w:cs="Calibri"/>
        </w:rPr>
        <w:t xml:space="preserve">, R., &amp; Israel, M. (2009). Job expectations and intention to leave in a state child welfare agency. </w:t>
      </w:r>
      <w:r w:rsidRPr="00692C6D">
        <w:rPr>
          <w:rFonts w:cs="Calibri"/>
          <w:i/>
        </w:rPr>
        <w:t>Journal of Public Child Welfare</w:t>
      </w:r>
      <w:r w:rsidRPr="00692C6D">
        <w:rPr>
          <w:rFonts w:cs="Calibri"/>
        </w:rPr>
        <w:t xml:space="preserve">, </w:t>
      </w:r>
      <w:r w:rsidRPr="00692C6D">
        <w:rPr>
          <w:rFonts w:cs="Calibri"/>
          <w:i/>
        </w:rPr>
        <w:t>3</w:t>
      </w:r>
      <w:r w:rsidRPr="00692C6D">
        <w:rPr>
          <w:rFonts w:cs="Calibri"/>
        </w:rPr>
        <w:t>, 23-39.</w:t>
      </w:r>
    </w:p>
  </w:footnote>
  <w:footnote w:id="40">
    <w:p w14:paraId="653DA3FF" w14:textId="7E222AD9" w:rsidR="006044F1" w:rsidRDefault="006044F1" w:rsidP="008F2193">
      <w:pPr>
        <w:pStyle w:val="FootnoteText"/>
        <w:spacing w:after="0"/>
      </w:pPr>
      <w:r>
        <w:rPr>
          <w:rStyle w:val="FootnoteReference"/>
        </w:rPr>
        <w:footnoteRef/>
      </w:r>
      <w:r>
        <w:t xml:space="preserve"> Faller, K.C., </w:t>
      </w:r>
      <w:proofErr w:type="spellStart"/>
      <w:r>
        <w:t>Grabarek</w:t>
      </w:r>
      <w:proofErr w:type="spellEnd"/>
      <w:r>
        <w:t xml:space="preserve">, M., &amp; Ortega, R.M. (2010). Commitment to child welfare work: What predicts leaving and staying? </w:t>
      </w:r>
      <w:r w:rsidRPr="005D79C7">
        <w:rPr>
          <w:i/>
        </w:rPr>
        <w:t>Children and Youth Services Review, 32</w:t>
      </w:r>
      <w:r>
        <w:t>, 840-846.</w:t>
      </w:r>
    </w:p>
  </w:footnote>
  <w:footnote w:id="41">
    <w:p w14:paraId="34B74F89" w14:textId="708E73F0" w:rsidR="006044F1" w:rsidRDefault="006044F1" w:rsidP="00784D61">
      <w:pPr>
        <w:pStyle w:val="FootnoteText"/>
        <w:spacing w:after="0"/>
      </w:pPr>
      <w:r>
        <w:rPr>
          <w:rStyle w:val="FootnoteReference"/>
        </w:rPr>
        <w:footnoteRef/>
      </w:r>
      <w:r>
        <w:t xml:space="preserve"> Ibid.</w:t>
      </w:r>
    </w:p>
  </w:footnote>
  <w:footnote w:id="42">
    <w:p w14:paraId="454212AB" w14:textId="096B23F5" w:rsidR="006044F1" w:rsidRPr="00784D61" w:rsidRDefault="006044F1" w:rsidP="00784D61">
      <w:pPr>
        <w:pStyle w:val="FootnoteText"/>
        <w:spacing w:after="0"/>
        <w:rPr>
          <w:i/>
        </w:rPr>
      </w:pPr>
      <w:r>
        <w:rPr>
          <w:rStyle w:val="FootnoteReference"/>
        </w:rPr>
        <w:footnoteRef/>
      </w:r>
      <w:r>
        <w:t xml:space="preserve"> </w:t>
      </w:r>
      <w:proofErr w:type="spellStart"/>
      <w:r>
        <w:t>Auerbach</w:t>
      </w:r>
      <w:proofErr w:type="spellEnd"/>
      <w:r>
        <w:t xml:space="preserve">, C., McGowan, B.G., </w:t>
      </w:r>
      <w:proofErr w:type="spellStart"/>
      <w:r>
        <w:t>Ausberger</w:t>
      </w:r>
      <w:proofErr w:type="spellEnd"/>
      <w:r>
        <w:t xml:space="preserve">, A., </w:t>
      </w:r>
      <w:proofErr w:type="spellStart"/>
      <w:r>
        <w:t>Strolin-Goltzman</w:t>
      </w:r>
      <w:proofErr w:type="spellEnd"/>
      <w:r>
        <w:t xml:space="preserve">, J., &amp; </w:t>
      </w:r>
      <w:proofErr w:type="spellStart"/>
      <w:r>
        <w:t>Schudrich</w:t>
      </w:r>
      <w:proofErr w:type="spellEnd"/>
      <w:r>
        <w:t xml:space="preserve">, W. (2010). Differential factors influencing public and voluntary child welfare workers’ intention to leave. </w:t>
      </w:r>
      <w:r>
        <w:rPr>
          <w:i/>
        </w:rPr>
        <w:t xml:space="preserve">Children and Youth Services Review, 32, </w:t>
      </w:r>
      <w:r w:rsidRPr="00784D61">
        <w:t>1396-1402</w:t>
      </w:r>
      <w:r>
        <w:rPr>
          <w:i/>
        </w:rPr>
        <w:t>.</w:t>
      </w:r>
    </w:p>
  </w:footnote>
  <w:footnote w:id="43">
    <w:p w14:paraId="1E983958" w14:textId="77777777" w:rsidR="006044F1" w:rsidRPr="00656FA5" w:rsidRDefault="006044F1" w:rsidP="00784D61">
      <w:pPr>
        <w:pStyle w:val="FootnoteText"/>
        <w:spacing w:after="0"/>
        <w:rPr>
          <w:rFonts w:cs="Calibri"/>
        </w:rPr>
      </w:pPr>
      <w:r w:rsidRPr="00656FA5">
        <w:rPr>
          <w:rStyle w:val="FootnoteReference"/>
          <w:rFonts w:cs="Calibri"/>
        </w:rPr>
        <w:footnoteRef/>
      </w:r>
      <w:r w:rsidRPr="00656FA5">
        <w:rPr>
          <w:rFonts w:cs="Calibri"/>
        </w:rPr>
        <w:t xml:space="preserve"> Lee, J., </w:t>
      </w:r>
      <w:proofErr w:type="spellStart"/>
      <w:r w:rsidRPr="00656FA5">
        <w:rPr>
          <w:rFonts w:cs="Calibri"/>
        </w:rPr>
        <w:t>Rehner</w:t>
      </w:r>
      <w:proofErr w:type="spellEnd"/>
      <w:r w:rsidRPr="00656FA5">
        <w:rPr>
          <w:rFonts w:cs="Calibri"/>
        </w:rPr>
        <w:t xml:space="preserve">, T., &amp; Forster, M. (2010). Employees’ intentions to remain employed in child welfare: Testing a conceptual model. </w:t>
      </w:r>
      <w:r w:rsidRPr="00656FA5">
        <w:rPr>
          <w:rFonts w:cs="Calibri"/>
          <w:i/>
        </w:rPr>
        <w:t>Journal of Public Child Welfare</w:t>
      </w:r>
      <w:r w:rsidRPr="00656FA5">
        <w:rPr>
          <w:rFonts w:cs="Calibri"/>
        </w:rPr>
        <w:t xml:space="preserve">, </w:t>
      </w:r>
      <w:r w:rsidRPr="00656FA5">
        <w:rPr>
          <w:rFonts w:cs="Calibri"/>
          <w:i/>
        </w:rPr>
        <w:t>4</w:t>
      </w:r>
      <w:r w:rsidRPr="00656FA5">
        <w:rPr>
          <w:rFonts w:cs="Calibri"/>
        </w:rPr>
        <w:t xml:space="preserve">, 174-197. </w:t>
      </w:r>
    </w:p>
  </w:footnote>
  <w:footnote w:id="44">
    <w:p w14:paraId="50DCA9E7" w14:textId="77777777" w:rsidR="006044F1" w:rsidRPr="00656FA5" w:rsidRDefault="006044F1" w:rsidP="0001356A">
      <w:pPr>
        <w:pStyle w:val="FootnoteText"/>
        <w:spacing w:after="0"/>
        <w:rPr>
          <w:rFonts w:cs="Calibri"/>
        </w:rPr>
      </w:pPr>
      <w:r w:rsidRPr="00656FA5">
        <w:rPr>
          <w:rStyle w:val="FootnoteReference"/>
          <w:rFonts w:cs="Calibri"/>
        </w:rPr>
        <w:footnoteRef/>
      </w:r>
      <w:r w:rsidRPr="00656FA5">
        <w:rPr>
          <w:rFonts w:cs="Calibri"/>
        </w:rPr>
        <w:t xml:space="preserve"> </w:t>
      </w:r>
      <w:r w:rsidRPr="00656FA5">
        <w:rPr>
          <w:rStyle w:val="hlfld-contribauthor"/>
          <w:rFonts w:cs="Calibri"/>
        </w:rPr>
        <w:t xml:space="preserve">Deshpande, </w:t>
      </w:r>
      <w:r w:rsidRPr="00656FA5">
        <w:rPr>
          <w:rStyle w:val="nlmgiven-names"/>
          <w:rFonts w:cs="Calibri"/>
        </w:rPr>
        <w:t>R.</w:t>
      </w:r>
      <w:r w:rsidRPr="00656FA5">
        <w:rPr>
          <w:rFonts w:cs="Calibri"/>
        </w:rPr>
        <w:t xml:space="preserve"> &amp; </w:t>
      </w:r>
      <w:r w:rsidRPr="00656FA5">
        <w:rPr>
          <w:rStyle w:val="hlfld-contribauthor"/>
          <w:rFonts w:cs="Calibri"/>
        </w:rPr>
        <w:t xml:space="preserve">Webster, </w:t>
      </w:r>
      <w:r w:rsidRPr="00656FA5">
        <w:rPr>
          <w:rStyle w:val="nlmgiven-names"/>
          <w:rFonts w:cs="Calibri"/>
        </w:rPr>
        <w:t>F.</w:t>
      </w:r>
      <w:r w:rsidRPr="00656FA5">
        <w:rPr>
          <w:rFonts w:cs="Calibri"/>
        </w:rPr>
        <w:t xml:space="preserve"> (</w:t>
      </w:r>
      <w:r w:rsidRPr="00656FA5">
        <w:rPr>
          <w:rStyle w:val="nlmyear"/>
          <w:rFonts w:cs="Calibri"/>
        </w:rPr>
        <w:t>1989)</w:t>
      </w:r>
      <w:r w:rsidRPr="00656FA5">
        <w:rPr>
          <w:rFonts w:cs="Calibri"/>
        </w:rPr>
        <w:t xml:space="preserve">. </w:t>
      </w:r>
      <w:r w:rsidRPr="00656FA5">
        <w:rPr>
          <w:rStyle w:val="nlmarticle-title"/>
          <w:rFonts w:cs="Calibri"/>
        </w:rPr>
        <w:t>Organizational culture and marketing: Defining the research agenda.</w:t>
      </w:r>
      <w:r w:rsidRPr="00656FA5">
        <w:rPr>
          <w:rFonts w:cs="Calibri"/>
        </w:rPr>
        <w:t xml:space="preserve"> </w:t>
      </w:r>
      <w:r w:rsidRPr="00656FA5">
        <w:rPr>
          <w:rFonts w:cs="Calibri"/>
          <w:i/>
          <w:iCs/>
        </w:rPr>
        <w:t>Journal of Marketing</w:t>
      </w:r>
      <w:r w:rsidRPr="00656FA5">
        <w:rPr>
          <w:rFonts w:cs="Calibri"/>
        </w:rPr>
        <w:t xml:space="preserve">, </w:t>
      </w:r>
      <w:r w:rsidRPr="00656FA5">
        <w:rPr>
          <w:rFonts w:cs="Calibri"/>
          <w:i/>
        </w:rPr>
        <w:t>53</w:t>
      </w:r>
      <w:r w:rsidRPr="00656FA5">
        <w:rPr>
          <w:rFonts w:cs="Calibri"/>
        </w:rPr>
        <w:t xml:space="preserve">, </w:t>
      </w:r>
      <w:r w:rsidRPr="00656FA5">
        <w:rPr>
          <w:rStyle w:val="nlmfpage"/>
          <w:rFonts w:cs="Calibri"/>
        </w:rPr>
        <w:t>3</w:t>
      </w:r>
      <w:r w:rsidRPr="00656FA5">
        <w:rPr>
          <w:rFonts w:cs="Calibri"/>
        </w:rPr>
        <w:t>-</w:t>
      </w:r>
      <w:r w:rsidRPr="00656FA5">
        <w:rPr>
          <w:rStyle w:val="nlmlpage"/>
          <w:rFonts w:cs="Calibri"/>
        </w:rPr>
        <w:t>15</w:t>
      </w:r>
      <w:r w:rsidRPr="00656FA5">
        <w:rPr>
          <w:rFonts w:cs="Calibri"/>
        </w:rPr>
        <w:t>.</w:t>
      </w:r>
    </w:p>
  </w:footnote>
  <w:footnote w:id="45">
    <w:p w14:paraId="3C6EE0F4" w14:textId="77777777" w:rsidR="006044F1" w:rsidRPr="00656FA5" w:rsidRDefault="006044F1" w:rsidP="0001356A">
      <w:pPr>
        <w:pStyle w:val="FootnoteText"/>
        <w:spacing w:after="0"/>
        <w:rPr>
          <w:rFonts w:cs="Calibri"/>
        </w:rPr>
      </w:pPr>
      <w:r w:rsidRPr="00656FA5">
        <w:rPr>
          <w:rStyle w:val="FootnoteReference"/>
          <w:rFonts w:cs="Calibri"/>
        </w:rPr>
        <w:footnoteRef/>
      </w:r>
      <w:r w:rsidRPr="00656FA5">
        <w:rPr>
          <w:rFonts w:cs="Calibri"/>
        </w:rPr>
        <w:t xml:space="preserve"> Lee, J., </w:t>
      </w:r>
      <w:proofErr w:type="spellStart"/>
      <w:r w:rsidRPr="00656FA5">
        <w:rPr>
          <w:rFonts w:cs="Calibri"/>
        </w:rPr>
        <w:t>Rehner</w:t>
      </w:r>
      <w:proofErr w:type="spellEnd"/>
      <w:r w:rsidRPr="00656FA5">
        <w:rPr>
          <w:rFonts w:cs="Calibri"/>
        </w:rPr>
        <w:t xml:space="preserve">, T., &amp; Forster, M. (2010). Employees’ intentions to remain employed in child welfare: Testing a conceptual model. </w:t>
      </w:r>
      <w:r w:rsidRPr="00656FA5">
        <w:rPr>
          <w:rFonts w:cs="Calibri"/>
          <w:i/>
        </w:rPr>
        <w:t>Journal of Public Child Welfare</w:t>
      </w:r>
      <w:r w:rsidRPr="00656FA5">
        <w:rPr>
          <w:rFonts w:cs="Calibri"/>
        </w:rPr>
        <w:t xml:space="preserve">, </w:t>
      </w:r>
      <w:r w:rsidRPr="00656FA5">
        <w:rPr>
          <w:rFonts w:cs="Calibri"/>
          <w:i/>
        </w:rPr>
        <w:t>4</w:t>
      </w:r>
      <w:r w:rsidRPr="00656FA5">
        <w:rPr>
          <w:rFonts w:cs="Calibri"/>
        </w:rPr>
        <w:t>, 174-197.</w:t>
      </w:r>
    </w:p>
  </w:footnote>
  <w:footnote w:id="46">
    <w:p w14:paraId="04B8C8E9" w14:textId="77777777" w:rsidR="006044F1" w:rsidRPr="00656FA5" w:rsidRDefault="006044F1" w:rsidP="0001356A">
      <w:pPr>
        <w:pStyle w:val="FootnoteText"/>
        <w:spacing w:after="0"/>
        <w:rPr>
          <w:rFonts w:cs="Calibri"/>
        </w:rPr>
      </w:pPr>
      <w:r w:rsidRPr="00656FA5">
        <w:rPr>
          <w:rStyle w:val="FootnoteReference"/>
          <w:rFonts w:cs="Calibri"/>
        </w:rPr>
        <w:footnoteRef/>
      </w:r>
      <w:r w:rsidRPr="00656FA5">
        <w:rPr>
          <w:rFonts w:cs="Calibri"/>
        </w:rPr>
        <w:t xml:space="preserve"> </w:t>
      </w:r>
      <w:proofErr w:type="spellStart"/>
      <w:proofErr w:type="gramStart"/>
      <w:r w:rsidRPr="00656FA5">
        <w:rPr>
          <w:rFonts w:cs="Calibri"/>
        </w:rPr>
        <w:t>Mor</w:t>
      </w:r>
      <w:proofErr w:type="spellEnd"/>
      <w:proofErr w:type="gramEnd"/>
      <w:r w:rsidRPr="00656FA5">
        <w:rPr>
          <w:rFonts w:cs="Calibri"/>
        </w:rPr>
        <w:t xml:space="preserve"> Barak, M.E., Levin, A., </w:t>
      </w:r>
      <w:proofErr w:type="spellStart"/>
      <w:r w:rsidRPr="00656FA5">
        <w:rPr>
          <w:rFonts w:cs="Calibri"/>
        </w:rPr>
        <w:t>Nissly</w:t>
      </w:r>
      <w:proofErr w:type="spellEnd"/>
      <w:r w:rsidRPr="00656FA5">
        <w:rPr>
          <w:rFonts w:cs="Calibri"/>
        </w:rPr>
        <w:t xml:space="preserve">, J.A., &amp; Lane, C. (2006). Why do they leave? Modeling child welfare workers’ turnover intentions. </w:t>
      </w:r>
      <w:r w:rsidRPr="00656FA5">
        <w:rPr>
          <w:rFonts w:cs="Calibri"/>
          <w:i/>
        </w:rPr>
        <w:t>Children and Youth Services Review</w:t>
      </w:r>
      <w:r w:rsidRPr="00656FA5">
        <w:rPr>
          <w:rFonts w:cs="Calibri"/>
        </w:rPr>
        <w:t xml:space="preserve">, </w:t>
      </w:r>
      <w:r w:rsidRPr="00656FA5">
        <w:rPr>
          <w:rFonts w:cs="Calibri"/>
          <w:i/>
        </w:rPr>
        <w:t>28</w:t>
      </w:r>
      <w:r w:rsidRPr="00656FA5">
        <w:rPr>
          <w:rFonts w:cs="Calibri"/>
        </w:rPr>
        <w:t xml:space="preserve">, 548-577. </w:t>
      </w:r>
    </w:p>
  </w:footnote>
  <w:footnote w:id="47">
    <w:p w14:paraId="40004512" w14:textId="77777777" w:rsidR="006044F1" w:rsidRPr="00656FA5" w:rsidRDefault="006044F1" w:rsidP="0001356A">
      <w:pPr>
        <w:pStyle w:val="FootnoteText"/>
        <w:spacing w:after="0"/>
        <w:rPr>
          <w:rFonts w:cs="Calibri"/>
        </w:rPr>
      </w:pPr>
      <w:r w:rsidRPr="00656FA5">
        <w:rPr>
          <w:rStyle w:val="FootnoteReference"/>
          <w:rFonts w:cs="Calibri"/>
        </w:rPr>
        <w:footnoteRef/>
      </w:r>
      <w:r w:rsidRPr="00656FA5">
        <w:rPr>
          <w:rFonts w:cs="Calibri"/>
        </w:rPr>
        <w:t xml:space="preserve"> </w:t>
      </w:r>
      <w:proofErr w:type="spellStart"/>
      <w:r w:rsidRPr="00656FA5">
        <w:rPr>
          <w:rFonts w:cs="Calibri"/>
        </w:rPr>
        <w:t>Chenot</w:t>
      </w:r>
      <w:proofErr w:type="spellEnd"/>
      <w:r w:rsidRPr="00656FA5">
        <w:rPr>
          <w:rFonts w:cs="Calibri"/>
        </w:rPr>
        <w:t xml:space="preserve">, D., Benton, A., &amp; Kim, H. (2009). The influence of supervisor support, peer support, and organizational culture among early career social workers in child welfare services. </w:t>
      </w:r>
      <w:r w:rsidRPr="00656FA5">
        <w:rPr>
          <w:rFonts w:cs="Calibri"/>
          <w:i/>
        </w:rPr>
        <w:t>Child Welfare</w:t>
      </w:r>
      <w:r w:rsidRPr="00656FA5">
        <w:rPr>
          <w:rFonts w:cs="Calibri"/>
        </w:rPr>
        <w:t xml:space="preserve">, </w:t>
      </w:r>
      <w:r w:rsidRPr="00656FA5">
        <w:rPr>
          <w:rFonts w:cs="Calibri"/>
          <w:i/>
        </w:rPr>
        <w:t>88</w:t>
      </w:r>
      <w:r w:rsidRPr="00656FA5">
        <w:rPr>
          <w:rFonts w:cs="Calibri"/>
        </w:rPr>
        <w:t xml:space="preserve">, 129-147. </w:t>
      </w:r>
    </w:p>
  </w:footnote>
  <w:footnote w:id="48">
    <w:p w14:paraId="6566A6BE" w14:textId="77777777" w:rsidR="006044F1" w:rsidRPr="00656FA5" w:rsidRDefault="006044F1" w:rsidP="0001356A">
      <w:pPr>
        <w:pStyle w:val="FootnoteText"/>
        <w:spacing w:after="0"/>
        <w:rPr>
          <w:rFonts w:cs="Calibri"/>
        </w:rPr>
      </w:pPr>
      <w:r w:rsidRPr="00656FA5">
        <w:rPr>
          <w:rStyle w:val="FootnoteReference"/>
          <w:rFonts w:cs="Calibri"/>
        </w:rPr>
        <w:footnoteRef/>
      </w:r>
      <w:r w:rsidRPr="00656FA5">
        <w:rPr>
          <w:rFonts w:cs="Calibri"/>
        </w:rPr>
        <w:t xml:space="preserve"> </w:t>
      </w:r>
      <w:proofErr w:type="spellStart"/>
      <w:proofErr w:type="gramStart"/>
      <w:r w:rsidRPr="00656FA5">
        <w:rPr>
          <w:rFonts w:cs="Calibri"/>
        </w:rPr>
        <w:t>lbid</w:t>
      </w:r>
      <w:proofErr w:type="spellEnd"/>
      <w:proofErr w:type="gramEnd"/>
      <w:r w:rsidRPr="00656FA5">
        <w:rPr>
          <w:rFonts w:cs="Calibri"/>
        </w:rPr>
        <w:t>.</w:t>
      </w:r>
    </w:p>
  </w:footnote>
  <w:footnote w:id="49">
    <w:p w14:paraId="2E17B3BF" w14:textId="77777777" w:rsidR="006044F1" w:rsidRPr="00656FA5" w:rsidRDefault="006044F1" w:rsidP="00656FA5">
      <w:pPr>
        <w:pStyle w:val="FootnoteText"/>
        <w:spacing w:after="0"/>
        <w:rPr>
          <w:rFonts w:cs="Calibri"/>
        </w:rPr>
      </w:pPr>
      <w:r w:rsidRPr="00656FA5">
        <w:rPr>
          <w:rStyle w:val="FootnoteReference"/>
          <w:rFonts w:cs="Calibri"/>
        </w:rPr>
        <w:footnoteRef/>
      </w:r>
      <w:r w:rsidRPr="00656FA5">
        <w:rPr>
          <w:rFonts w:cs="Calibri"/>
        </w:rPr>
        <w:t xml:space="preserve"> U.S. Government Accountability Office. (2003). </w:t>
      </w:r>
      <w:r w:rsidRPr="00656FA5">
        <w:rPr>
          <w:rFonts w:cs="Calibri"/>
          <w:i/>
        </w:rPr>
        <w:t>Child welfare: HHS could play a greater role in helping child welfare agencies recruit and retain staff</w:t>
      </w:r>
      <w:r w:rsidRPr="00656FA5">
        <w:rPr>
          <w:rFonts w:cs="Calibri"/>
        </w:rPr>
        <w:t xml:space="preserve"> (GAO-03-357). Washington, DC: Author.</w:t>
      </w:r>
    </w:p>
  </w:footnote>
  <w:footnote w:id="50">
    <w:p w14:paraId="5E576F5E" w14:textId="77777777" w:rsidR="006044F1" w:rsidRPr="00255D10" w:rsidRDefault="006044F1" w:rsidP="00656FA5">
      <w:pPr>
        <w:pStyle w:val="FootnoteText"/>
        <w:spacing w:after="0"/>
      </w:pPr>
      <w:r w:rsidRPr="00656FA5">
        <w:rPr>
          <w:rStyle w:val="FootnoteReference"/>
          <w:rFonts w:cs="Calibri"/>
        </w:rPr>
        <w:footnoteRef/>
      </w:r>
      <w:r w:rsidRPr="00656FA5">
        <w:rPr>
          <w:rFonts w:cs="Calibri"/>
        </w:rPr>
        <w:t xml:space="preserve"> </w:t>
      </w:r>
      <w:proofErr w:type="spellStart"/>
      <w:proofErr w:type="gramStart"/>
      <w:r w:rsidRPr="00656FA5">
        <w:rPr>
          <w:rFonts w:cs="Calibri"/>
        </w:rPr>
        <w:t>lbid</w:t>
      </w:r>
      <w:proofErr w:type="spellEnd"/>
      <w:proofErr w:type="gramEnd"/>
      <w:r w:rsidRPr="00656FA5">
        <w:rPr>
          <w:rFonts w:cs="Calibri"/>
        </w:rPr>
        <w:t>.</w:t>
      </w:r>
    </w:p>
  </w:footnote>
  <w:footnote w:id="51">
    <w:p w14:paraId="2EBF8DB1" w14:textId="77777777" w:rsidR="006044F1" w:rsidRDefault="006044F1" w:rsidP="00E1436D">
      <w:pPr>
        <w:pStyle w:val="FootnoteText"/>
        <w:spacing w:after="0"/>
      </w:pPr>
      <w:r w:rsidRPr="00C4053C">
        <w:rPr>
          <w:rStyle w:val="FootnoteReference"/>
        </w:rPr>
        <w:footnoteRef/>
      </w:r>
      <w:r w:rsidRPr="00C4053C">
        <w:t xml:space="preserve"> Chen, S</w:t>
      </w:r>
      <w:r>
        <w:t>.</w:t>
      </w:r>
      <w:r w:rsidRPr="00C4053C">
        <w:t xml:space="preserve">, &amp; </w:t>
      </w:r>
      <w:proofErr w:type="spellStart"/>
      <w:r w:rsidRPr="00C4053C">
        <w:t>Scannapieco</w:t>
      </w:r>
      <w:proofErr w:type="spellEnd"/>
      <w:r w:rsidRPr="00C4053C">
        <w:t xml:space="preserve">, M. (2010). The influence of job satisfaction on child welfare worker’s desire to stay: </w:t>
      </w:r>
      <w:r>
        <w:t>A</w:t>
      </w:r>
      <w:r w:rsidRPr="00C4053C">
        <w:t>n</w:t>
      </w:r>
      <w:r w:rsidRPr="004E48F8">
        <w:t xml:space="preserve"> examination of the interaction effect of self-efficacy and supportive supervision. </w:t>
      </w:r>
      <w:r w:rsidRPr="004E48F8">
        <w:rPr>
          <w:i/>
        </w:rPr>
        <w:t>Children and Youth Services Review</w:t>
      </w:r>
      <w:r w:rsidRPr="00D0723E">
        <w:rPr>
          <w:i/>
        </w:rPr>
        <w:t>, 32</w:t>
      </w:r>
      <w:r w:rsidRPr="004E48F8">
        <w:t>, 482-486.</w:t>
      </w:r>
      <w:r>
        <w:t xml:space="preserve"> </w:t>
      </w:r>
    </w:p>
  </w:footnote>
  <w:footnote w:id="52">
    <w:p w14:paraId="0BCB8F1D" w14:textId="77777777" w:rsidR="006044F1" w:rsidRPr="00656FA5" w:rsidRDefault="006044F1" w:rsidP="00762217">
      <w:pPr>
        <w:pStyle w:val="FootnoteText"/>
        <w:spacing w:after="0"/>
        <w:rPr>
          <w:rFonts w:cs="Calibri"/>
        </w:rPr>
      </w:pPr>
      <w:r w:rsidRPr="00656FA5">
        <w:rPr>
          <w:rStyle w:val="FootnoteReference"/>
          <w:rFonts w:cs="Calibri"/>
        </w:rPr>
        <w:footnoteRef/>
      </w:r>
      <w:r w:rsidRPr="00656FA5">
        <w:rPr>
          <w:rFonts w:cs="Calibri"/>
        </w:rPr>
        <w:t xml:space="preserve"> Gibbs, J. (2009). Changing the cultural story in child protection: Learning from the insider’s experience. </w:t>
      </w:r>
      <w:r w:rsidRPr="00656FA5">
        <w:rPr>
          <w:rFonts w:cs="Calibri"/>
          <w:i/>
        </w:rPr>
        <w:t>Child &amp; Family Social Work</w:t>
      </w:r>
      <w:r w:rsidRPr="00656FA5">
        <w:rPr>
          <w:rFonts w:cs="Calibri"/>
        </w:rPr>
        <w:t xml:space="preserve">, </w:t>
      </w:r>
      <w:r w:rsidRPr="00656FA5">
        <w:rPr>
          <w:rFonts w:cs="Calibri"/>
          <w:i/>
        </w:rPr>
        <w:t>14</w:t>
      </w:r>
      <w:r w:rsidRPr="00656FA5">
        <w:rPr>
          <w:rFonts w:cs="Calibri"/>
        </w:rPr>
        <w:t xml:space="preserve">, 289-299. </w:t>
      </w:r>
    </w:p>
  </w:footnote>
  <w:footnote w:id="53">
    <w:p w14:paraId="361374C0" w14:textId="77777777" w:rsidR="006044F1" w:rsidRPr="000025AA" w:rsidRDefault="006044F1" w:rsidP="00762217">
      <w:pPr>
        <w:pStyle w:val="FootnoteText"/>
        <w:spacing w:after="0"/>
      </w:pPr>
      <w:r w:rsidRPr="000025AA">
        <w:rPr>
          <w:rStyle w:val="FootnoteReference"/>
        </w:rPr>
        <w:footnoteRef/>
      </w:r>
      <w:r w:rsidRPr="000025AA">
        <w:t xml:space="preserve"> </w:t>
      </w:r>
      <w:proofErr w:type="spellStart"/>
      <w:r w:rsidRPr="000025AA">
        <w:t>Sedivy</w:t>
      </w:r>
      <w:proofErr w:type="spellEnd"/>
      <w:r w:rsidRPr="000025AA">
        <w:t xml:space="preserve">, J., </w:t>
      </w:r>
      <w:proofErr w:type="spellStart"/>
      <w:r w:rsidRPr="000025AA">
        <w:t>Rienks</w:t>
      </w:r>
      <w:proofErr w:type="spellEnd"/>
      <w:r w:rsidRPr="000025AA">
        <w:t xml:space="preserve">, S., </w:t>
      </w:r>
      <w:proofErr w:type="spellStart"/>
      <w:r w:rsidRPr="000025AA">
        <w:t>Leake</w:t>
      </w:r>
      <w:proofErr w:type="spellEnd"/>
      <w:r w:rsidRPr="000025AA">
        <w:t>, R., &amp; He, A.</w:t>
      </w:r>
      <w:r>
        <w:t>S.</w:t>
      </w:r>
      <w:r w:rsidRPr="000025AA">
        <w:t xml:space="preserve"> (2020). Expanding our understanding of the role of peer support in child welfare workforce retention. </w:t>
      </w:r>
      <w:r w:rsidRPr="000025AA">
        <w:rPr>
          <w:i/>
        </w:rPr>
        <w:t>Journal of Public Child Welfare</w:t>
      </w:r>
      <w:r w:rsidRPr="000025AA">
        <w:t xml:space="preserve">, </w:t>
      </w:r>
      <w:r w:rsidRPr="00864011">
        <w:rPr>
          <w:i/>
        </w:rPr>
        <w:t>14</w:t>
      </w:r>
      <w:r w:rsidRPr="000025AA">
        <w:t xml:space="preserve">, 80-100. </w:t>
      </w:r>
    </w:p>
  </w:footnote>
  <w:footnote w:id="54">
    <w:p w14:paraId="57EF577F" w14:textId="77777777" w:rsidR="006044F1" w:rsidRDefault="006044F1" w:rsidP="007607D7">
      <w:pPr>
        <w:pStyle w:val="FootnoteText"/>
        <w:spacing w:after="0"/>
      </w:pPr>
      <w:r w:rsidRPr="00BF6D81">
        <w:rPr>
          <w:rStyle w:val="FootnoteReference"/>
        </w:rPr>
        <w:footnoteRef/>
      </w:r>
      <w:r w:rsidRPr="00BF6D81">
        <w:t xml:space="preserve"> Strand, V.C., &amp; Dore, M.M. (2009). Job satisfaction in a stable state child welfare workforce: Implications for staff retention</w:t>
      </w:r>
      <w:r w:rsidRPr="00142543">
        <w:rPr>
          <w:i/>
        </w:rPr>
        <w:t>. Children and Youth Services Review, 31</w:t>
      </w:r>
      <w:r w:rsidRPr="00BF6D81">
        <w:t>, 391</w:t>
      </w:r>
      <w:r>
        <w:t>-</w:t>
      </w:r>
      <w:r w:rsidRPr="00BF6D81">
        <w:t>397.</w:t>
      </w:r>
    </w:p>
  </w:footnote>
  <w:footnote w:id="55">
    <w:p w14:paraId="4B22B0B0" w14:textId="77777777" w:rsidR="006044F1" w:rsidRPr="00F66652" w:rsidRDefault="006044F1" w:rsidP="00762217">
      <w:pPr>
        <w:pStyle w:val="FootnoteText"/>
        <w:spacing w:after="0"/>
        <w:rPr>
          <w:rFonts w:cs="Arial"/>
        </w:rPr>
      </w:pPr>
      <w:r w:rsidRPr="00F66652">
        <w:rPr>
          <w:rStyle w:val="FootnoteReference"/>
          <w:rFonts w:cs="Arial"/>
        </w:rPr>
        <w:footnoteRef/>
      </w:r>
      <w:r w:rsidRPr="00F66652">
        <w:rPr>
          <w:rFonts w:cs="Arial"/>
        </w:rPr>
        <w:t xml:space="preserve"> Sprang, G., Craig, C., &amp; Clark, J. (2011). Secondary traumatic stress and burnout in child</w:t>
      </w:r>
      <w:r>
        <w:rPr>
          <w:rFonts w:cs="Arial"/>
        </w:rPr>
        <w:t xml:space="preserve"> </w:t>
      </w:r>
      <w:r w:rsidRPr="00F66652">
        <w:rPr>
          <w:rFonts w:cs="Arial"/>
        </w:rPr>
        <w:t xml:space="preserve">welfare workers: A comparative analysis of occupational distress across professional groups. </w:t>
      </w:r>
      <w:r w:rsidRPr="00BA10E8">
        <w:rPr>
          <w:rFonts w:cs="Arial"/>
          <w:i/>
        </w:rPr>
        <w:t>Child Welfare</w:t>
      </w:r>
      <w:r w:rsidRPr="00F66652">
        <w:rPr>
          <w:rFonts w:cs="Arial"/>
        </w:rPr>
        <w:t xml:space="preserve">, </w:t>
      </w:r>
      <w:r w:rsidRPr="00864011">
        <w:rPr>
          <w:rFonts w:cs="Arial"/>
          <w:i/>
        </w:rPr>
        <w:t>90</w:t>
      </w:r>
      <w:r w:rsidRPr="00F66652">
        <w:rPr>
          <w:rFonts w:cs="Arial"/>
        </w:rPr>
        <w:t>, 149–168.</w:t>
      </w:r>
    </w:p>
  </w:footnote>
  <w:footnote w:id="56">
    <w:p w14:paraId="0CE1395D" w14:textId="77777777" w:rsidR="006044F1" w:rsidRPr="00F66652" w:rsidRDefault="006044F1" w:rsidP="00762217">
      <w:pPr>
        <w:pStyle w:val="FootnoteText"/>
        <w:spacing w:after="0"/>
        <w:rPr>
          <w:rFonts w:cs="Arial"/>
        </w:rPr>
      </w:pPr>
      <w:r w:rsidRPr="00F66652">
        <w:rPr>
          <w:rStyle w:val="FootnoteReference"/>
          <w:rFonts w:cs="Arial"/>
        </w:rPr>
        <w:footnoteRef/>
      </w:r>
      <w:r w:rsidRPr="00F66652">
        <w:rPr>
          <w:rFonts w:cs="Arial"/>
        </w:rPr>
        <w:t xml:space="preserve"> </w:t>
      </w:r>
      <w:proofErr w:type="spellStart"/>
      <w:r w:rsidRPr="00F66652">
        <w:rPr>
          <w:rFonts w:cs="Arial"/>
        </w:rPr>
        <w:t>Maslach</w:t>
      </w:r>
      <w:proofErr w:type="spellEnd"/>
      <w:r w:rsidRPr="00F66652">
        <w:rPr>
          <w:rFonts w:cs="Arial"/>
        </w:rPr>
        <w:t xml:space="preserve">, C., Jackson, S. &amp; Leiter, M. (1996). </w:t>
      </w:r>
      <w:proofErr w:type="spellStart"/>
      <w:r w:rsidRPr="00864011">
        <w:rPr>
          <w:rFonts w:cs="Arial"/>
          <w:i/>
        </w:rPr>
        <w:t>Maslach</w:t>
      </w:r>
      <w:proofErr w:type="spellEnd"/>
      <w:r w:rsidRPr="00864011">
        <w:rPr>
          <w:rFonts w:cs="Arial"/>
          <w:i/>
        </w:rPr>
        <w:t xml:space="preserve"> Burnout Inventory Manual</w:t>
      </w:r>
      <w:r w:rsidRPr="00F66652">
        <w:rPr>
          <w:rFonts w:cs="Arial"/>
        </w:rPr>
        <w:t xml:space="preserve">. Palo Alto: Consulting Psychologists Press. </w:t>
      </w:r>
    </w:p>
  </w:footnote>
  <w:footnote w:id="57">
    <w:p w14:paraId="37626E11" w14:textId="77777777" w:rsidR="006044F1" w:rsidRPr="00034265" w:rsidRDefault="006044F1" w:rsidP="00BE3176">
      <w:pPr>
        <w:pStyle w:val="FootnoteText"/>
        <w:spacing w:after="0"/>
      </w:pPr>
      <w:r w:rsidRPr="00034265">
        <w:rPr>
          <w:rStyle w:val="FootnoteReference"/>
        </w:rPr>
        <w:footnoteRef/>
      </w:r>
      <w:r w:rsidRPr="00034265">
        <w:t xml:space="preserve"> Siebert, D.C. (2005). Personal and occupational factors in burnout among practicing social workers: Implications for research, practitioners, and managers. </w:t>
      </w:r>
      <w:r w:rsidRPr="00034265">
        <w:rPr>
          <w:i/>
        </w:rPr>
        <w:t>Journal of Social Service Research</w:t>
      </w:r>
      <w:r w:rsidRPr="00034265">
        <w:t xml:space="preserve">, </w:t>
      </w:r>
      <w:r w:rsidRPr="00864011">
        <w:rPr>
          <w:i/>
        </w:rPr>
        <w:t>32</w:t>
      </w:r>
      <w:r w:rsidRPr="00034265">
        <w:t>, 25–44.</w:t>
      </w:r>
    </w:p>
  </w:footnote>
  <w:footnote w:id="58">
    <w:p w14:paraId="56254E60" w14:textId="77777777" w:rsidR="006044F1" w:rsidRPr="000F2FE7" w:rsidRDefault="006044F1" w:rsidP="00BE3176">
      <w:pPr>
        <w:pStyle w:val="FootnoteText"/>
        <w:spacing w:after="0"/>
        <w:rPr>
          <w:rFonts w:cs="Arial"/>
        </w:rPr>
      </w:pPr>
      <w:r w:rsidRPr="000F2FE7">
        <w:rPr>
          <w:rStyle w:val="FootnoteReference"/>
          <w:rFonts w:cs="Arial"/>
        </w:rPr>
        <w:footnoteRef/>
      </w:r>
      <w:r w:rsidRPr="000F2FE7">
        <w:rPr>
          <w:rFonts w:cs="Arial"/>
        </w:rPr>
        <w:t xml:space="preserve"> Gold, N. (1998). Using participatory research to help promote the physical and mental health of female social workers in child welfare. </w:t>
      </w:r>
      <w:r w:rsidRPr="00034265">
        <w:rPr>
          <w:rFonts w:cs="Arial"/>
          <w:i/>
        </w:rPr>
        <w:t>Child Welfare</w:t>
      </w:r>
      <w:r w:rsidRPr="000F2FE7">
        <w:rPr>
          <w:rFonts w:cs="Arial"/>
        </w:rPr>
        <w:t xml:space="preserve">, </w:t>
      </w:r>
      <w:r w:rsidRPr="003222F9">
        <w:rPr>
          <w:rFonts w:cs="Arial"/>
          <w:i/>
        </w:rPr>
        <w:t>77</w:t>
      </w:r>
      <w:r w:rsidRPr="000F2FE7">
        <w:rPr>
          <w:rFonts w:cs="Arial"/>
        </w:rPr>
        <w:t xml:space="preserve">, 701-724. </w:t>
      </w:r>
    </w:p>
  </w:footnote>
  <w:footnote w:id="59">
    <w:p w14:paraId="703CAEA9" w14:textId="77777777" w:rsidR="006044F1" w:rsidRPr="00DA0588" w:rsidRDefault="006044F1" w:rsidP="00BE3176">
      <w:pPr>
        <w:pStyle w:val="FootnoteText"/>
        <w:spacing w:after="0"/>
        <w:rPr>
          <w:rFonts w:cs="Arial"/>
        </w:rPr>
      </w:pPr>
      <w:r w:rsidRPr="00F66652">
        <w:rPr>
          <w:rStyle w:val="FootnoteReference"/>
        </w:rPr>
        <w:footnoteRef/>
      </w:r>
      <w:r w:rsidRPr="00F66652">
        <w:t xml:space="preserve"> </w:t>
      </w:r>
      <w:proofErr w:type="spellStart"/>
      <w:r w:rsidRPr="00F66652">
        <w:t>Cahalane</w:t>
      </w:r>
      <w:proofErr w:type="spellEnd"/>
      <w:r w:rsidRPr="00F66652">
        <w:t xml:space="preserve">, H., &amp; Sites, E.W. (2008). The climate of child welfare employee retention. </w:t>
      </w:r>
      <w:r w:rsidRPr="00077FB9">
        <w:rPr>
          <w:i/>
          <w:iCs/>
        </w:rPr>
        <w:t xml:space="preserve">Child Welfare: Journal of Policy, Practice, and Program, </w:t>
      </w:r>
      <w:r w:rsidRPr="007F7504">
        <w:rPr>
          <w:i/>
          <w:iCs/>
        </w:rPr>
        <w:t>87</w:t>
      </w:r>
      <w:r w:rsidRPr="00F66652">
        <w:t xml:space="preserve">, 91–114. </w:t>
      </w:r>
      <w:proofErr w:type="spellStart"/>
      <w:r w:rsidRPr="00F66652">
        <w:t>Demerouti</w:t>
      </w:r>
      <w:proofErr w:type="spellEnd"/>
      <w:r w:rsidRPr="00F66652">
        <w:t xml:space="preserve">, E., Bakker, A.B., </w:t>
      </w:r>
      <w:proofErr w:type="spellStart"/>
      <w:r w:rsidRPr="00F66652">
        <w:t>Nachreiner</w:t>
      </w:r>
      <w:proofErr w:type="spellEnd"/>
      <w:r w:rsidRPr="00F66652">
        <w:t xml:space="preserve">, F., &amp; </w:t>
      </w:r>
      <w:proofErr w:type="spellStart"/>
      <w:r w:rsidRPr="00F66652">
        <w:t>Schaufeli</w:t>
      </w:r>
      <w:proofErr w:type="spellEnd"/>
      <w:r w:rsidRPr="00F66652">
        <w:t xml:space="preserve">, W.B. (2001). The job demands-resources model of burnout. </w:t>
      </w:r>
      <w:r w:rsidRPr="00676E73">
        <w:rPr>
          <w:i/>
        </w:rPr>
        <w:t>The Journal of Applied Psychology</w:t>
      </w:r>
      <w:r w:rsidRPr="00F66652">
        <w:t xml:space="preserve">, </w:t>
      </w:r>
      <w:r w:rsidRPr="003222F9">
        <w:rPr>
          <w:i/>
        </w:rPr>
        <w:t>86</w:t>
      </w:r>
      <w:r w:rsidRPr="00F66652">
        <w:t xml:space="preserve">, 499−512. </w:t>
      </w:r>
      <w:proofErr w:type="spellStart"/>
      <w:proofErr w:type="gramStart"/>
      <w:r w:rsidRPr="00F66652">
        <w:t>Mor</w:t>
      </w:r>
      <w:proofErr w:type="spellEnd"/>
      <w:proofErr w:type="gramEnd"/>
      <w:r w:rsidRPr="00F66652">
        <w:t xml:space="preserve"> Barak, M.E., </w:t>
      </w:r>
      <w:proofErr w:type="spellStart"/>
      <w:r w:rsidRPr="00F66652">
        <w:t>Nissly</w:t>
      </w:r>
      <w:proofErr w:type="spellEnd"/>
      <w:r w:rsidRPr="00F66652">
        <w:t xml:space="preserve">, J.A., &amp; Levin, A. (2001). Antecedents to retention and turnover among child welfare, social work, and other human service employees: What can we learn from past research? A review and </w:t>
      </w:r>
      <w:proofErr w:type="spellStart"/>
      <w:r w:rsidRPr="00F66652">
        <w:t>metanalysis</w:t>
      </w:r>
      <w:proofErr w:type="spellEnd"/>
      <w:r w:rsidRPr="00F66652">
        <w:t xml:space="preserve">. </w:t>
      </w:r>
      <w:r w:rsidRPr="00676E73">
        <w:rPr>
          <w:i/>
        </w:rPr>
        <w:t>Social Service Review</w:t>
      </w:r>
      <w:r w:rsidRPr="00F66652">
        <w:t xml:space="preserve">, </w:t>
      </w:r>
      <w:r w:rsidRPr="003222F9">
        <w:rPr>
          <w:i/>
        </w:rPr>
        <w:t>75</w:t>
      </w:r>
      <w:r w:rsidRPr="00F66652">
        <w:t>, 625</w:t>
      </w:r>
      <w:r>
        <w:t>-</w:t>
      </w:r>
      <w:r w:rsidRPr="00F66652">
        <w:t>661.</w:t>
      </w:r>
      <w:r>
        <w:t xml:space="preserve"> </w:t>
      </w:r>
      <w:r w:rsidRPr="00F66652">
        <w:rPr>
          <w:rFonts w:cs="Arial"/>
        </w:rPr>
        <w:t xml:space="preserve">Williams, S.E., Nichols, </w:t>
      </w:r>
      <w:proofErr w:type="spellStart"/>
      <w:r w:rsidRPr="00F66652">
        <w:rPr>
          <w:rFonts w:cs="Arial"/>
        </w:rPr>
        <w:t>Q.l</w:t>
      </w:r>
      <w:proofErr w:type="spellEnd"/>
      <w:r w:rsidRPr="00F66652">
        <w:rPr>
          <w:rFonts w:cs="Arial"/>
        </w:rPr>
        <w:t xml:space="preserve">., Kirk, A., &amp; Wilson, T. (2011). A recent look at the factors influencing workforce retention in public child welfare. </w:t>
      </w:r>
      <w:r w:rsidRPr="00676E73">
        <w:rPr>
          <w:rFonts w:cs="Arial"/>
          <w:i/>
        </w:rPr>
        <w:t>Children and Youth Services Review</w:t>
      </w:r>
      <w:r w:rsidRPr="00F66652">
        <w:rPr>
          <w:rFonts w:cs="Arial"/>
        </w:rPr>
        <w:t xml:space="preserve">, </w:t>
      </w:r>
      <w:r w:rsidRPr="003222F9">
        <w:rPr>
          <w:rFonts w:cs="Arial"/>
          <w:i/>
        </w:rPr>
        <w:t>33</w:t>
      </w:r>
      <w:r w:rsidRPr="00F66652">
        <w:rPr>
          <w:rFonts w:cs="Arial"/>
        </w:rPr>
        <w:t>, 157</w:t>
      </w:r>
      <w:r>
        <w:rPr>
          <w:rFonts w:cs="Arial"/>
        </w:rPr>
        <w:t>-</w:t>
      </w:r>
      <w:r w:rsidRPr="00F66652">
        <w:rPr>
          <w:rFonts w:cs="Arial"/>
        </w:rPr>
        <w:t>160.</w:t>
      </w:r>
    </w:p>
  </w:footnote>
  <w:footnote w:id="60">
    <w:p w14:paraId="630577E9" w14:textId="77777777" w:rsidR="006044F1" w:rsidRDefault="006044F1" w:rsidP="00BE3176">
      <w:pPr>
        <w:pStyle w:val="FootnoteText"/>
        <w:spacing w:after="0"/>
      </w:pPr>
      <w:r w:rsidRPr="00F66652">
        <w:rPr>
          <w:rStyle w:val="FootnoteReference"/>
        </w:rPr>
        <w:footnoteRef/>
      </w:r>
      <w:r w:rsidRPr="00F66652">
        <w:t xml:space="preserve"> </w:t>
      </w:r>
      <w:proofErr w:type="spellStart"/>
      <w:proofErr w:type="gramStart"/>
      <w:r w:rsidRPr="00F66652">
        <w:t>Mor</w:t>
      </w:r>
      <w:proofErr w:type="spellEnd"/>
      <w:proofErr w:type="gramEnd"/>
      <w:r w:rsidRPr="00F66652">
        <w:t xml:space="preserve"> Barak, M.E., </w:t>
      </w:r>
      <w:proofErr w:type="spellStart"/>
      <w:r w:rsidRPr="00F66652">
        <w:t>Nissly</w:t>
      </w:r>
      <w:proofErr w:type="spellEnd"/>
      <w:r w:rsidRPr="00F66652">
        <w:t xml:space="preserve">, J.A., &amp; Levin, A. (2001). Antecedents to retention and turnover among child welfare, social work, and other human service employees: What can we learn from past research? A review and </w:t>
      </w:r>
      <w:proofErr w:type="spellStart"/>
      <w:r w:rsidRPr="00F66652">
        <w:t>metanalysis</w:t>
      </w:r>
      <w:proofErr w:type="spellEnd"/>
      <w:r w:rsidRPr="00F66652">
        <w:t xml:space="preserve">. </w:t>
      </w:r>
      <w:r w:rsidRPr="00676E73">
        <w:rPr>
          <w:i/>
        </w:rPr>
        <w:t>Social Service Review</w:t>
      </w:r>
      <w:r w:rsidRPr="00F66652">
        <w:t xml:space="preserve">, </w:t>
      </w:r>
      <w:r w:rsidRPr="003222F9">
        <w:rPr>
          <w:i/>
        </w:rPr>
        <w:t>75</w:t>
      </w:r>
      <w:r w:rsidRPr="00F66652">
        <w:t>, 625</w:t>
      </w:r>
      <w:r>
        <w:t>-</w:t>
      </w:r>
      <w:r w:rsidRPr="00F66652">
        <w:t>661.</w:t>
      </w:r>
      <w:r>
        <w:t xml:space="preserve"> </w:t>
      </w:r>
    </w:p>
  </w:footnote>
  <w:footnote w:id="61">
    <w:p w14:paraId="63D622D9" w14:textId="77777777" w:rsidR="006044F1" w:rsidRPr="00EB40F0" w:rsidRDefault="006044F1" w:rsidP="00BE3176">
      <w:pPr>
        <w:pStyle w:val="FootnoteText"/>
        <w:spacing w:after="0"/>
      </w:pPr>
      <w:r w:rsidRPr="00EB40F0">
        <w:rPr>
          <w:rStyle w:val="FootnoteReference"/>
        </w:rPr>
        <w:footnoteRef/>
      </w:r>
      <w:r w:rsidRPr="00EB40F0">
        <w:t xml:space="preserve"> </w:t>
      </w:r>
      <w:proofErr w:type="spellStart"/>
      <w:r w:rsidRPr="00EB40F0">
        <w:t>Kristensen</w:t>
      </w:r>
      <w:proofErr w:type="spellEnd"/>
      <w:r w:rsidRPr="00EB40F0">
        <w:t xml:space="preserve">, T.S., </w:t>
      </w:r>
      <w:proofErr w:type="spellStart"/>
      <w:r w:rsidRPr="00EB40F0">
        <w:t>Borritz</w:t>
      </w:r>
      <w:proofErr w:type="spellEnd"/>
      <w:r w:rsidRPr="00EB40F0">
        <w:t xml:space="preserve">, M., </w:t>
      </w:r>
      <w:proofErr w:type="spellStart"/>
      <w:r w:rsidRPr="00EB40F0">
        <w:t>Villadsen</w:t>
      </w:r>
      <w:proofErr w:type="spellEnd"/>
      <w:r w:rsidRPr="00EB40F0">
        <w:t xml:space="preserve">, E., &amp; Christensen, K.B. (2005). The Copenhagen Burnout Inventory: A new tool for the assessment of burnout. </w:t>
      </w:r>
      <w:r w:rsidRPr="00034265">
        <w:rPr>
          <w:i/>
        </w:rPr>
        <w:t>Work and Stress</w:t>
      </w:r>
      <w:r w:rsidRPr="00EB40F0">
        <w:t xml:space="preserve">, </w:t>
      </w:r>
      <w:r w:rsidRPr="003222F9">
        <w:rPr>
          <w:i/>
        </w:rPr>
        <w:t>19</w:t>
      </w:r>
      <w:r w:rsidRPr="00EB40F0">
        <w:t>, 192</w:t>
      </w:r>
      <w:r>
        <w:t>-</w:t>
      </w:r>
      <w:r w:rsidRPr="00EB40F0">
        <w:t>207.</w:t>
      </w:r>
    </w:p>
  </w:footnote>
  <w:footnote w:id="62">
    <w:p w14:paraId="2903CCAE" w14:textId="77777777" w:rsidR="006044F1" w:rsidRPr="004B5F1E" w:rsidRDefault="006044F1" w:rsidP="00BE3176">
      <w:pPr>
        <w:spacing w:after="0"/>
        <w:rPr>
          <w:rFonts w:ascii="Arial" w:hAnsi="Arial" w:cs="Arial"/>
          <w:sz w:val="20"/>
          <w:szCs w:val="20"/>
        </w:rPr>
      </w:pPr>
      <w:r w:rsidRPr="00EB40F0">
        <w:rPr>
          <w:rStyle w:val="FootnoteReference"/>
          <w:rFonts w:cs="Arial"/>
          <w:sz w:val="20"/>
          <w:szCs w:val="20"/>
        </w:rPr>
        <w:footnoteRef/>
      </w:r>
      <w:r w:rsidRPr="00EB40F0">
        <w:rPr>
          <w:rFonts w:cs="Arial"/>
          <w:sz w:val="20"/>
          <w:szCs w:val="20"/>
        </w:rPr>
        <w:t xml:space="preserve"> </w:t>
      </w:r>
      <w:proofErr w:type="spellStart"/>
      <w:r w:rsidRPr="00EB40F0">
        <w:rPr>
          <w:rFonts w:cs="Arial"/>
          <w:sz w:val="20"/>
          <w:szCs w:val="20"/>
        </w:rPr>
        <w:t>Leake</w:t>
      </w:r>
      <w:proofErr w:type="spellEnd"/>
      <w:r w:rsidRPr="00EB40F0">
        <w:rPr>
          <w:rFonts w:cs="Arial"/>
          <w:sz w:val="20"/>
          <w:szCs w:val="20"/>
        </w:rPr>
        <w:t xml:space="preserve">, R., </w:t>
      </w:r>
      <w:proofErr w:type="spellStart"/>
      <w:r w:rsidRPr="00EB40F0">
        <w:rPr>
          <w:rFonts w:cs="Arial"/>
          <w:sz w:val="20"/>
          <w:szCs w:val="20"/>
        </w:rPr>
        <w:t>Rienks</w:t>
      </w:r>
      <w:proofErr w:type="spellEnd"/>
      <w:r w:rsidRPr="00EB40F0">
        <w:rPr>
          <w:rFonts w:cs="Arial"/>
          <w:sz w:val="20"/>
          <w:szCs w:val="20"/>
        </w:rPr>
        <w:t xml:space="preserve">, S., &amp; </w:t>
      </w:r>
      <w:proofErr w:type="spellStart"/>
      <w:r w:rsidRPr="00EB40F0">
        <w:rPr>
          <w:rFonts w:cs="Arial"/>
          <w:sz w:val="20"/>
          <w:szCs w:val="20"/>
        </w:rPr>
        <w:t>Obermann</w:t>
      </w:r>
      <w:proofErr w:type="spellEnd"/>
      <w:r w:rsidRPr="00EB40F0">
        <w:rPr>
          <w:rFonts w:cs="Arial"/>
          <w:sz w:val="20"/>
          <w:szCs w:val="20"/>
        </w:rPr>
        <w:t xml:space="preserve">, A. (2017). A deeper look at burnout in the child welfare workforce. </w:t>
      </w:r>
      <w:r w:rsidRPr="00034265">
        <w:rPr>
          <w:rFonts w:cs="Arial"/>
          <w:i/>
          <w:sz w:val="20"/>
          <w:szCs w:val="20"/>
        </w:rPr>
        <w:t>Human Services Organizations: Management, Leadership, &amp; Governance</w:t>
      </w:r>
      <w:r w:rsidRPr="00EB40F0">
        <w:rPr>
          <w:rFonts w:cs="Arial"/>
          <w:sz w:val="20"/>
          <w:szCs w:val="20"/>
        </w:rPr>
        <w:t xml:space="preserve">, </w:t>
      </w:r>
      <w:r w:rsidRPr="003222F9">
        <w:rPr>
          <w:rFonts w:cs="Arial"/>
          <w:i/>
          <w:sz w:val="20"/>
          <w:szCs w:val="20"/>
        </w:rPr>
        <w:t>5</w:t>
      </w:r>
      <w:r w:rsidRPr="00EB40F0">
        <w:rPr>
          <w:rFonts w:cs="Arial"/>
          <w:sz w:val="20"/>
          <w:szCs w:val="20"/>
        </w:rPr>
        <w:t>, 492-502.</w:t>
      </w:r>
    </w:p>
  </w:footnote>
  <w:footnote w:id="63">
    <w:p w14:paraId="11CFEDA1" w14:textId="77777777" w:rsidR="006044F1" w:rsidRPr="00BE3176" w:rsidRDefault="006044F1" w:rsidP="00BE3176">
      <w:pPr>
        <w:pStyle w:val="FootnoteText"/>
        <w:spacing w:after="0"/>
        <w:rPr>
          <w:rFonts w:cs="Calibri"/>
        </w:rPr>
      </w:pPr>
      <w:r w:rsidRPr="00BE3176">
        <w:rPr>
          <w:rStyle w:val="FootnoteReference"/>
          <w:rFonts w:cs="Calibri"/>
        </w:rPr>
        <w:footnoteRef/>
      </w:r>
      <w:r w:rsidRPr="00BE3176">
        <w:rPr>
          <w:rFonts w:cs="Calibri"/>
        </w:rPr>
        <w:t xml:space="preserve"> </w:t>
      </w:r>
      <w:proofErr w:type="spellStart"/>
      <w:r w:rsidRPr="00BE3176">
        <w:rPr>
          <w:rFonts w:cs="Calibri"/>
        </w:rPr>
        <w:t>Maslach</w:t>
      </w:r>
      <w:proofErr w:type="spellEnd"/>
      <w:r w:rsidRPr="00BE3176">
        <w:rPr>
          <w:rFonts w:cs="Calibri"/>
        </w:rPr>
        <w:t xml:space="preserve">, C., Jackson, S. &amp; Leiter, M. (1996). </w:t>
      </w:r>
      <w:proofErr w:type="spellStart"/>
      <w:r w:rsidRPr="00BE3176">
        <w:rPr>
          <w:rFonts w:cs="Calibri"/>
          <w:i/>
        </w:rPr>
        <w:t>Maslach</w:t>
      </w:r>
      <w:proofErr w:type="spellEnd"/>
      <w:r w:rsidRPr="00BE3176">
        <w:rPr>
          <w:rFonts w:cs="Calibri"/>
          <w:i/>
        </w:rPr>
        <w:t xml:space="preserve"> Burnout Inventory Manual</w:t>
      </w:r>
      <w:r w:rsidRPr="00BE3176">
        <w:rPr>
          <w:rFonts w:cs="Calibri"/>
        </w:rPr>
        <w:t>. Palo Alto: Consulting Psychologists Press.</w:t>
      </w:r>
    </w:p>
  </w:footnote>
  <w:footnote w:id="64">
    <w:p w14:paraId="70DBF8BA" w14:textId="77777777" w:rsidR="006044F1" w:rsidRPr="00BE3176" w:rsidRDefault="006044F1" w:rsidP="00BE3176">
      <w:pPr>
        <w:pStyle w:val="FootnoteText"/>
        <w:spacing w:after="0"/>
        <w:rPr>
          <w:rFonts w:cs="Calibri"/>
        </w:rPr>
      </w:pPr>
      <w:r w:rsidRPr="00BE3176">
        <w:rPr>
          <w:rStyle w:val="FootnoteReference"/>
          <w:rFonts w:cs="Calibri"/>
        </w:rPr>
        <w:footnoteRef/>
      </w:r>
      <w:r w:rsidRPr="00BE3176">
        <w:rPr>
          <w:rFonts w:cs="Calibri"/>
        </w:rPr>
        <w:t xml:space="preserve"> </w:t>
      </w:r>
      <w:proofErr w:type="spellStart"/>
      <w:r w:rsidRPr="00BE3176">
        <w:rPr>
          <w:rFonts w:cs="Calibri"/>
        </w:rPr>
        <w:t>Boyas</w:t>
      </w:r>
      <w:proofErr w:type="spellEnd"/>
      <w:r w:rsidRPr="00BE3176">
        <w:rPr>
          <w:rFonts w:cs="Calibri"/>
        </w:rPr>
        <w:t xml:space="preserve">, J.F., Wind, L.H., &amp; Ruiz, E. (2013). Organizational tenure among child welfare workers, burnout, stress, and intent to leave: Does employment-based social capital make a difference? </w:t>
      </w:r>
      <w:r w:rsidRPr="00BE3176">
        <w:rPr>
          <w:rFonts w:cs="Calibri"/>
          <w:i/>
        </w:rPr>
        <w:t>Children and Youth Services Review</w:t>
      </w:r>
      <w:r w:rsidRPr="00BE3176">
        <w:rPr>
          <w:rFonts w:cs="Calibri"/>
        </w:rPr>
        <w:t xml:space="preserve">, </w:t>
      </w:r>
      <w:r w:rsidRPr="00BE3176">
        <w:rPr>
          <w:rFonts w:cs="Calibri"/>
          <w:i/>
        </w:rPr>
        <w:t>35</w:t>
      </w:r>
      <w:r w:rsidRPr="00BE3176">
        <w:rPr>
          <w:rFonts w:cs="Calibri"/>
        </w:rPr>
        <w:t xml:space="preserve">, 1657-1669. Cox, T., </w:t>
      </w:r>
      <w:proofErr w:type="spellStart"/>
      <w:r w:rsidRPr="00BE3176">
        <w:rPr>
          <w:rFonts w:cs="Calibri"/>
        </w:rPr>
        <w:t>Tisserand</w:t>
      </w:r>
      <w:proofErr w:type="spellEnd"/>
      <w:r w:rsidRPr="00BE3176">
        <w:rPr>
          <w:rFonts w:cs="Calibri"/>
        </w:rPr>
        <w:t xml:space="preserve">, M., &amp; </w:t>
      </w:r>
      <w:proofErr w:type="spellStart"/>
      <w:r w:rsidRPr="00BE3176">
        <w:rPr>
          <w:rFonts w:cs="Calibri"/>
        </w:rPr>
        <w:t>Taris</w:t>
      </w:r>
      <w:proofErr w:type="spellEnd"/>
      <w:r w:rsidRPr="00BE3176">
        <w:rPr>
          <w:rFonts w:cs="Calibri"/>
        </w:rPr>
        <w:t xml:space="preserve">, T. (2005). Editorial: The conceptualization and measurement of burnout: Questions and directions. </w:t>
      </w:r>
      <w:r w:rsidRPr="00BE3176">
        <w:rPr>
          <w:rFonts w:cs="Calibri"/>
          <w:i/>
        </w:rPr>
        <w:t>Work and Stress</w:t>
      </w:r>
      <w:r w:rsidRPr="00BE3176">
        <w:rPr>
          <w:rFonts w:cs="Calibri"/>
        </w:rPr>
        <w:t xml:space="preserve">, </w:t>
      </w:r>
      <w:r w:rsidRPr="00BE3176">
        <w:rPr>
          <w:rFonts w:cs="Calibri"/>
          <w:i/>
        </w:rPr>
        <w:t>19</w:t>
      </w:r>
      <w:r w:rsidRPr="00BE3176">
        <w:rPr>
          <w:rFonts w:cs="Calibri"/>
        </w:rPr>
        <w:t>, 187-191.</w:t>
      </w:r>
    </w:p>
  </w:footnote>
  <w:footnote w:id="65">
    <w:p w14:paraId="41E1DD19" w14:textId="77777777" w:rsidR="006044F1" w:rsidRPr="00BE3176" w:rsidRDefault="006044F1" w:rsidP="00BE3176">
      <w:pPr>
        <w:pStyle w:val="FootnoteText"/>
        <w:spacing w:after="0"/>
        <w:rPr>
          <w:rFonts w:cs="Calibri"/>
        </w:rPr>
      </w:pPr>
      <w:r w:rsidRPr="00BE3176">
        <w:rPr>
          <w:rStyle w:val="FootnoteReference"/>
          <w:rFonts w:cs="Calibri"/>
        </w:rPr>
        <w:footnoteRef/>
      </w:r>
      <w:r w:rsidRPr="00BE3176">
        <w:rPr>
          <w:rFonts w:cs="Calibri"/>
        </w:rPr>
        <w:t xml:space="preserve"> Travis, D.J., </w:t>
      </w:r>
      <w:proofErr w:type="spellStart"/>
      <w:r w:rsidRPr="00BE3176">
        <w:rPr>
          <w:rFonts w:cs="Calibri"/>
        </w:rPr>
        <w:t>Lizano</w:t>
      </w:r>
      <w:proofErr w:type="spellEnd"/>
      <w:r w:rsidRPr="00BE3176">
        <w:rPr>
          <w:rFonts w:cs="Calibri"/>
        </w:rPr>
        <w:t xml:space="preserve">, E.L., &amp; </w:t>
      </w:r>
      <w:proofErr w:type="spellStart"/>
      <w:proofErr w:type="gramStart"/>
      <w:r w:rsidRPr="00BE3176">
        <w:rPr>
          <w:rFonts w:cs="Calibri"/>
        </w:rPr>
        <w:t>Mor</w:t>
      </w:r>
      <w:proofErr w:type="spellEnd"/>
      <w:proofErr w:type="gramEnd"/>
      <w:r w:rsidRPr="00BE3176">
        <w:rPr>
          <w:rFonts w:cs="Calibri"/>
        </w:rPr>
        <w:t xml:space="preserve"> Barak, M.E. (2016). “I’m so stressed!</w:t>
      </w:r>
      <w:proofErr w:type="gramStart"/>
      <w:r w:rsidRPr="00BE3176">
        <w:rPr>
          <w:rFonts w:cs="Calibri"/>
        </w:rPr>
        <w:t>”:</w:t>
      </w:r>
      <w:proofErr w:type="gramEnd"/>
      <w:r w:rsidRPr="00BE3176">
        <w:rPr>
          <w:rFonts w:cs="Calibri"/>
        </w:rPr>
        <w:t xml:space="preserve"> A longitudinal model of stress, burnout and engagement among social workers in child welfare settings. </w:t>
      </w:r>
      <w:r w:rsidRPr="00BE3176">
        <w:rPr>
          <w:rFonts w:cs="Calibri"/>
          <w:i/>
        </w:rPr>
        <w:t>British Journal of Social Work</w:t>
      </w:r>
      <w:r w:rsidRPr="00BE3176">
        <w:rPr>
          <w:rFonts w:cs="Calibri"/>
        </w:rPr>
        <w:t xml:space="preserve">, </w:t>
      </w:r>
      <w:r w:rsidRPr="00BE3176">
        <w:rPr>
          <w:rFonts w:cs="Calibri"/>
          <w:i/>
        </w:rPr>
        <w:t>46</w:t>
      </w:r>
      <w:r w:rsidRPr="00BE3176">
        <w:rPr>
          <w:rFonts w:cs="Calibri"/>
        </w:rPr>
        <w:t>, 1076-1095.</w:t>
      </w:r>
    </w:p>
  </w:footnote>
  <w:footnote w:id="66">
    <w:p w14:paraId="10EBE6B8" w14:textId="77777777" w:rsidR="006044F1" w:rsidRPr="00BE3176" w:rsidRDefault="006044F1" w:rsidP="000A2F78">
      <w:pPr>
        <w:pStyle w:val="FootnoteText"/>
        <w:spacing w:after="0"/>
        <w:rPr>
          <w:rFonts w:cs="Calibri"/>
        </w:rPr>
      </w:pPr>
      <w:r w:rsidRPr="00BE3176">
        <w:rPr>
          <w:rStyle w:val="FootnoteReference"/>
          <w:rFonts w:cs="Calibri"/>
        </w:rPr>
        <w:footnoteRef/>
      </w:r>
      <w:r w:rsidRPr="00BE3176">
        <w:rPr>
          <w:rFonts w:cs="Calibri"/>
        </w:rPr>
        <w:t xml:space="preserve"> Gonzalez, R.P., Faller, K.C., Ortega, R., &amp; </w:t>
      </w:r>
      <w:proofErr w:type="spellStart"/>
      <w:r w:rsidRPr="00BE3176">
        <w:rPr>
          <w:rFonts w:cs="Calibri"/>
        </w:rPr>
        <w:t>Tropman</w:t>
      </w:r>
      <w:proofErr w:type="spellEnd"/>
      <w:r w:rsidRPr="00BE3176">
        <w:rPr>
          <w:rFonts w:cs="Calibri"/>
        </w:rPr>
        <w:t xml:space="preserve">, J. (2009). Exit interviews with departed child welfare workers: Preliminary findings. </w:t>
      </w:r>
      <w:r w:rsidRPr="00BE3176">
        <w:rPr>
          <w:rFonts w:cs="Calibri"/>
          <w:i/>
          <w:iCs/>
        </w:rPr>
        <w:t>Journal of Public Child Welfare, 3</w:t>
      </w:r>
      <w:r w:rsidRPr="00BE3176">
        <w:rPr>
          <w:rFonts w:cs="Calibri"/>
        </w:rPr>
        <w:t>, 40-63.</w:t>
      </w:r>
    </w:p>
  </w:footnote>
  <w:footnote w:id="67">
    <w:p w14:paraId="44FEE421" w14:textId="77777777" w:rsidR="006044F1" w:rsidRPr="00BE3176" w:rsidRDefault="006044F1" w:rsidP="000A2F78">
      <w:pPr>
        <w:pStyle w:val="FootnoteText"/>
        <w:spacing w:after="0"/>
        <w:rPr>
          <w:rFonts w:cs="Calibri"/>
          <w:lang w:eastAsia="ja-JP"/>
        </w:rPr>
      </w:pPr>
      <w:r w:rsidRPr="00BE3176">
        <w:rPr>
          <w:rStyle w:val="FootnoteReference"/>
          <w:rFonts w:cs="Calibri"/>
        </w:rPr>
        <w:footnoteRef/>
      </w:r>
      <w:r w:rsidRPr="00BE3176">
        <w:rPr>
          <w:rFonts w:cs="Calibri"/>
        </w:rPr>
        <w:t xml:space="preserve"> </w:t>
      </w:r>
      <w:r w:rsidRPr="00BE3176">
        <w:rPr>
          <w:rFonts w:cs="Calibri"/>
          <w:lang w:eastAsia="ja-JP"/>
        </w:rPr>
        <w:t xml:space="preserve">Lloyd, C. King, R., Chenoweth, L. (2002). Social work, stress, and burnout: A Review. </w:t>
      </w:r>
      <w:r w:rsidRPr="00BE3176">
        <w:rPr>
          <w:rFonts w:cs="Calibri"/>
          <w:i/>
          <w:lang w:eastAsia="ja-JP"/>
        </w:rPr>
        <w:t>Journal of Mental Health, 11</w:t>
      </w:r>
      <w:r w:rsidRPr="00BE3176">
        <w:rPr>
          <w:rFonts w:cs="Calibri"/>
          <w:lang w:eastAsia="ja-JP"/>
        </w:rPr>
        <w:t>, 255-265.</w:t>
      </w:r>
    </w:p>
  </w:footnote>
  <w:footnote w:id="68">
    <w:p w14:paraId="0182A42D" w14:textId="77777777" w:rsidR="006044F1" w:rsidRPr="00BE3176" w:rsidRDefault="006044F1" w:rsidP="000A2F78">
      <w:pPr>
        <w:pStyle w:val="FootnoteText"/>
        <w:spacing w:after="0"/>
        <w:rPr>
          <w:rFonts w:cs="Calibri"/>
        </w:rPr>
      </w:pPr>
      <w:r w:rsidRPr="00BE3176">
        <w:rPr>
          <w:rStyle w:val="FootnoteReference"/>
          <w:rFonts w:cs="Calibri"/>
        </w:rPr>
        <w:footnoteRef/>
      </w:r>
      <w:r w:rsidRPr="00BE3176">
        <w:rPr>
          <w:rFonts w:cs="Calibri"/>
        </w:rPr>
        <w:t xml:space="preserve"> Weiss Dagan, S., Ben-</w:t>
      </w:r>
      <w:proofErr w:type="spellStart"/>
      <w:r w:rsidRPr="00BE3176">
        <w:rPr>
          <w:rFonts w:cs="Calibri"/>
        </w:rPr>
        <w:t>Porat</w:t>
      </w:r>
      <w:proofErr w:type="spellEnd"/>
      <w:r w:rsidRPr="00BE3176">
        <w:rPr>
          <w:rFonts w:cs="Calibri"/>
        </w:rPr>
        <w:t xml:space="preserve">, A., &amp; </w:t>
      </w:r>
      <w:proofErr w:type="spellStart"/>
      <w:r w:rsidRPr="00BE3176">
        <w:rPr>
          <w:rFonts w:cs="Calibri"/>
        </w:rPr>
        <w:t>Itzhaky</w:t>
      </w:r>
      <w:proofErr w:type="spellEnd"/>
      <w:r w:rsidRPr="00BE3176">
        <w:rPr>
          <w:rFonts w:cs="Calibri"/>
        </w:rPr>
        <w:t xml:space="preserve">, H. (2016). Child protection workers dealing with child abuse: The contribution of personal, social, and organizational resources to secondary traumatization. </w:t>
      </w:r>
      <w:r w:rsidRPr="00BE3176">
        <w:rPr>
          <w:rFonts w:cs="Calibri"/>
          <w:i/>
          <w:iCs/>
        </w:rPr>
        <w:t xml:space="preserve">Child Abuse &amp; Neglect, </w:t>
      </w:r>
      <w:r w:rsidRPr="00D343FD">
        <w:rPr>
          <w:rFonts w:ascii="Calibri" w:hAnsi="Calibri" w:cs="Calibri"/>
          <w:i/>
          <w:iCs/>
        </w:rPr>
        <w:t>51</w:t>
      </w:r>
      <w:r w:rsidRPr="00D343FD">
        <w:rPr>
          <w:rFonts w:ascii="Calibri" w:hAnsi="Calibri" w:cs="Calibri"/>
        </w:rPr>
        <w:t>,</w:t>
      </w:r>
      <w:r w:rsidRPr="00BE3176">
        <w:rPr>
          <w:rFonts w:cs="Calibri"/>
        </w:rPr>
        <w:t xml:space="preserve"> 203-211.</w:t>
      </w:r>
    </w:p>
  </w:footnote>
  <w:footnote w:id="69">
    <w:p w14:paraId="0BE11231" w14:textId="77777777" w:rsidR="006044F1" w:rsidRPr="00BE3176" w:rsidRDefault="006044F1" w:rsidP="000A2F78">
      <w:pPr>
        <w:pStyle w:val="FootnoteText"/>
        <w:spacing w:after="0"/>
        <w:rPr>
          <w:rFonts w:cs="Calibri"/>
        </w:rPr>
      </w:pPr>
      <w:r w:rsidRPr="00BE3176">
        <w:rPr>
          <w:rStyle w:val="FootnoteReference"/>
          <w:rFonts w:cs="Calibri"/>
        </w:rPr>
        <w:footnoteRef/>
      </w:r>
      <w:r w:rsidRPr="00BE3176">
        <w:rPr>
          <w:rFonts w:cs="Calibri"/>
        </w:rPr>
        <w:t xml:space="preserve"> </w:t>
      </w:r>
      <w:proofErr w:type="spellStart"/>
      <w:r w:rsidRPr="00BE3176">
        <w:rPr>
          <w:rFonts w:cs="Calibri"/>
        </w:rPr>
        <w:t>Salloum</w:t>
      </w:r>
      <w:proofErr w:type="spellEnd"/>
      <w:r w:rsidRPr="00BE3176">
        <w:rPr>
          <w:rFonts w:cs="Calibri"/>
        </w:rPr>
        <w:t xml:space="preserve">, A., </w:t>
      </w:r>
      <w:proofErr w:type="spellStart"/>
      <w:r w:rsidRPr="00BE3176">
        <w:rPr>
          <w:rFonts w:cs="Calibri"/>
        </w:rPr>
        <w:t>Kondrat</w:t>
      </w:r>
      <w:proofErr w:type="spellEnd"/>
      <w:r w:rsidRPr="00BE3176">
        <w:rPr>
          <w:rFonts w:cs="Calibri"/>
        </w:rPr>
        <w:t xml:space="preserve">, D.C., </w:t>
      </w:r>
      <w:proofErr w:type="spellStart"/>
      <w:r w:rsidRPr="00BE3176">
        <w:rPr>
          <w:rFonts w:cs="Calibri"/>
        </w:rPr>
        <w:t>Johnco</w:t>
      </w:r>
      <w:proofErr w:type="spellEnd"/>
      <w:r w:rsidRPr="00BE3176">
        <w:rPr>
          <w:rFonts w:cs="Calibri"/>
        </w:rPr>
        <w:t xml:space="preserve">, C., &amp; Olson, K.R. (2015). The role of self-care on compassion satisfaction, burnout, and secondary trauma among child welfare workers. </w:t>
      </w:r>
      <w:r w:rsidRPr="00BE3176">
        <w:rPr>
          <w:rFonts w:cs="Calibri"/>
          <w:i/>
          <w:iCs/>
        </w:rPr>
        <w:t>Children and Youth Services Review, 49</w:t>
      </w:r>
      <w:r w:rsidRPr="00BE3176">
        <w:rPr>
          <w:rFonts w:cs="Calibri"/>
        </w:rPr>
        <w:t xml:space="preserve">, 54-61. </w:t>
      </w:r>
    </w:p>
  </w:footnote>
  <w:footnote w:id="70">
    <w:p w14:paraId="54838BFC" w14:textId="77777777" w:rsidR="006044F1" w:rsidRPr="00BE3176" w:rsidRDefault="006044F1" w:rsidP="000A2F78">
      <w:pPr>
        <w:pStyle w:val="FootnoteText"/>
        <w:spacing w:after="0"/>
        <w:rPr>
          <w:rFonts w:cs="Calibri"/>
        </w:rPr>
      </w:pPr>
      <w:r w:rsidRPr="00BE3176">
        <w:rPr>
          <w:rStyle w:val="FootnoteReference"/>
          <w:rFonts w:cs="Calibri"/>
        </w:rPr>
        <w:footnoteRef/>
      </w:r>
      <w:r w:rsidRPr="00BE3176">
        <w:rPr>
          <w:rFonts w:cs="Calibri"/>
        </w:rPr>
        <w:t xml:space="preserve"> Anderson, D. G. (2000). Coping strategies and burnout among veteran child protection workers. </w:t>
      </w:r>
      <w:r w:rsidRPr="00BE3176">
        <w:rPr>
          <w:rFonts w:cs="Calibri"/>
          <w:i/>
        </w:rPr>
        <w:t>Child Abuse &amp; Neglect</w:t>
      </w:r>
      <w:r w:rsidRPr="00BE3176">
        <w:rPr>
          <w:rFonts w:cs="Calibri"/>
        </w:rPr>
        <w:t>, 24, 839-848.</w:t>
      </w:r>
    </w:p>
  </w:footnote>
  <w:footnote w:id="71">
    <w:p w14:paraId="559E3200" w14:textId="77777777" w:rsidR="006044F1" w:rsidRPr="00BE3176" w:rsidRDefault="006044F1" w:rsidP="000A2F78">
      <w:pPr>
        <w:pStyle w:val="FootnoteText"/>
        <w:spacing w:after="0"/>
        <w:rPr>
          <w:rFonts w:cs="Calibri"/>
        </w:rPr>
      </w:pPr>
      <w:r w:rsidRPr="00BE3176">
        <w:rPr>
          <w:rStyle w:val="FootnoteReference"/>
          <w:rFonts w:cs="Calibri"/>
        </w:rPr>
        <w:footnoteRef/>
      </w:r>
      <w:r w:rsidRPr="00BE3176">
        <w:rPr>
          <w:rFonts w:cs="Calibri"/>
        </w:rPr>
        <w:t xml:space="preserve"> Kim, H. (2011). Job conditions, unmet expectations, and burnout in public child welfare workers: How different from other social workers? </w:t>
      </w:r>
      <w:r w:rsidRPr="00BE3176">
        <w:rPr>
          <w:rFonts w:cs="Calibri"/>
          <w:i/>
        </w:rPr>
        <w:t>Children and Youth Services Review, 33</w:t>
      </w:r>
      <w:r w:rsidRPr="00BE3176">
        <w:rPr>
          <w:rFonts w:cs="Calibri"/>
        </w:rPr>
        <w:t>, 358-367.</w:t>
      </w:r>
    </w:p>
  </w:footnote>
  <w:footnote w:id="72">
    <w:p w14:paraId="30F11E4A" w14:textId="77777777" w:rsidR="006044F1" w:rsidRPr="00BE3176" w:rsidRDefault="006044F1" w:rsidP="00373F65">
      <w:pPr>
        <w:pStyle w:val="FootnoteText"/>
        <w:spacing w:after="0"/>
        <w:rPr>
          <w:rFonts w:cs="Calibri"/>
        </w:rPr>
      </w:pPr>
      <w:r w:rsidRPr="00BE3176">
        <w:rPr>
          <w:rStyle w:val="FootnoteReference"/>
          <w:rFonts w:cs="Calibri"/>
        </w:rPr>
        <w:footnoteRef/>
      </w:r>
      <w:r w:rsidRPr="00BE3176">
        <w:rPr>
          <w:rFonts w:cs="Calibri"/>
        </w:rPr>
        <w:t xml:space="preserve"> Schwartz, R.H., </w:t>
      </w:r>
      <w:proofErr w:type="spellStart"/>
      <w:r w:rsidRPr="00BE3176">
        <w:rPr>
          <w:rFonts w:cs="Calibri"/>
        </w:rPr>
        <w:t>Tiamiyu</w:t>
      </w:r>
      <w:proofErr w:type="spellEnd"/>
      <w:r w:rsidRPr="00BE3176">
        <w:rPr>
          <w:rFonts w:cs="Calibri"/>
        </w:rPr>
        <w:t xml:space="preserve">, M.F., Dwyer, D.J. (2007). Social worker hope and perceived burnout: The effects of age, years in practice, and setting. </w:t>
      </w:r>
      <w:r w:rsidRPr="00BE3176">
        <w:rPr>
          <w:rFonts w:cs="Calibri"/>
          <w:i/>
        </w:rPr>
        <w:t>Administration in Social Work, 31</w:t>
      </w:r>
      <w:r w:rsidRPr="00BE3176">
        <w:rPr>
          <w:rFonts w:cs="Calibri"/>
        </w:rPr>
        <w:t>, 103-119.</w:t>
      </w:r>
    </w:p>
  </w:footnote>
  <w:footnote w:id="73">
    <w:p w14:paraId="3FFC0F46" w14:textId="75BDC4D0" w:rsidR="006044F1" w:rsidRPr="00154D34" w:rsidRDefault="006044F1" w:rsidP="00373F65">
      <w:pPr>
        <w:pStyle w:val="FootnoteText"/>
        <w:spacing w:after="0"/>
        <w:rPr>
          <w:rFonts w:cs="Calibri"/>
        </w:rPr>
      </w:pPr>
      <w:r w:rsidRPr="00154D34">
        <w:rPr>
          <w:rStyle w:val="FootnoteReference"/>
          <w:rFonts w:cs="Calibri"/>
        </w:rPr>
        <w:footnoteRef/>
      </w:r>
      <w:r w:rsidRPr="00154D34">
        <w:rPr>
          <w:rFonts w:cs="Calibri"/>
        </w:rPr>
        <w:t xml:space="preserve"> This rating scale is described in more detail at the California Evidence-Based Clearinghouse for Child Welfare:  </w:t>
      </w:r>
      <w:hyperlink r:id="rId11" w:history="1">
        <w:r w:rsidRPr="00154D34">
          <w:rPr>
            <w:color w:val="0000FF"/>
            <w:u w:val="single"/>
          </w:rPr>
          <w:t>https://www.cebc4cw.org/ratings/scientific-rating-scale/</w:t>
        </w:r>
      </w:hyperlink>
    </w:p>
  </w:footnote>
  <w:footnote w:id="74">
    <w:p w14:paraId="10EC286A" w14:textId="77777777" w:rsidR="006044F1" w:rsidRPr="005D7ABF" w:rsidRDefault="006044F1" w:rsidP="00373F65">
      <w:pPr>
        <w:pStyle w:val="FootnoteText"/>
        <w:spacing w:after="0"/>
        <w:rPr>
          <w:rFonts w:cs="Calibri"/>
        </w:rPr>
      </w:pPr>
      <w:r w:rsidRPr="005D7ABF">
        <w:rPr>
          <w:rStyle w:val="FootnoteReference"/>
          <w:rFonts w:cs="Calibri"/>
        </w:rPr>
        <w:footnoteRef/>
      </w:r>
      <w:r w:rsidRPr="005D7ABF">
        <w:rPr>
          <w:rFonts w:cs="Calibri"/>
        </w:rPr>
        <w:t xml:space="preserve"> Steadman, R.H., Coates, W.C., Yue, M.H., </w:t>
      </w:r>
      <w:proofErr w:type="spellStart"/>
      <w:r w:rsidRPr="005D7ABF">
        <w:rPr>
          <w:rFonts w:cs="Calibri"/>
        </w:rPr>
        <w:t>Matevosian</w:t>
      </w:r>
      <w:proofErr w:type="spellEnd"/>
      <w:r w:rsidRPr="005D7ABF">
        <w:rPr>
          <w:rFonts w:cs="Calibri"/>
        </w:rPr>
        <w:t xml:space="preserve">, R., </w:t>
      </w:r>
      <w:proofErr w:type="spellStart"/>
      <w:r w:rsidRPr="005D7ABF">
        <w:rPr>
          <w:rFonts w:cs="Calibri"/>
        </w:rPr>
        <w:t>Larmon</w:t>
      </w:r>
      <w:proofErr w:type="spellEnd"/>
      <w:r w:rsidRPr="005D7ABF">
        <w:rPr>
          <w:rFonts w:cs="Calibri"/>
        </w:rPr>
        <w:t xml:space="preserve">, B.R., McCullough, L., &amp; Ariel, D. (2006). Simulation-based training is superior to problem-based learning for the acquisition of critical assessment and management skills. </w:t>
      </w:r>
      <w:r w:rsidRPr="005D7ABF">
        <w:rPr>
          <w:rFonts w:cs="Calibri"/>
          <w:i/>
          <w:iCs/>
        </w:rPr>
        <w:t>Critical Care Medicine, 34</w:t>
      </w:r>
      <w:r w:rsidRPr="005D7ABF">
        <w:rPr>
          <w:rFonts w:cs="Calibri"/>
        </w:rPr>
        <w:t>, 151-157.</w:t>
      </w:r>
    </w:p>
  </w:footnote>
  <w:footnote w:id="75">
    <w:p w14:paraId="4ED71404" w14:textId="77777777" w:rsidR="006044F1" w:rsidRPr="005D7ABF" w:rsidRDefault="006044F1" w:rsidP="005D7ABF">
      <w:pPr>
        <w:pStyle w:val="FootnoteText"/>
        <w:spacing w:after="0"/>
        <w:rPr>
          <w:rFonts w:cs="Calibri"/>
        </w:rPr>
      </w:pPr>
      <w:r w:rsidRPr="005D7ABF">
        <w:rPr>
          <w:rStyle w:val="FootnoteReference"/>
          <w:rFonts w:cs="Calibri"/>
        </w:rPr>
        <w:footnoteRef/>
      </w:r>
      <w:r w:rsidRPr="005D7ABF">
        <w:rPr>
          <w:rFonts w:cs="Calibri"/>
        </w:rPr>
        <w:t xml:space="preserve"> Chiu, Y.L., &amp; Cross, T.P. (2019). </w:t>
      </w:r>
      <w:r w:rsidRPr="005D7ABF">
        <w:rPr>
          <w:rFonts w:cs="Calibri"/>
          <w:i/>
          <w:iCs/>
        </w:rPr>
        <w:t>FY2019 Program Evaluation of the Child Protection Training Academy for New DCFS Investigators.</w:t>
      </w:r>
      <w:r w:rsidRPr="005D7ABF">
        <w:rPr>
          <w:rFonts w:cs="Calibri"/>
        </w:rPr>
        <w:t xml:space="preserve"> Urbana, IL: Children and Family Research Center, University of Illinois at Urbana-Champaign.</w:t>
      </w:r>
    </w:p>
  </w:footnote>
  <w:footnote w:id="76">
    <w:p w14:paraId="2C27CF6C" w14:textId="77777777" w:rsidR="006044F1" w:rsidRPr="005D7ABF" w:rsidRDefault="006044F1" w:rsidP="005D7ABF">
      <w:pPr>
        <w:pStyle w:val="FootnoteText"/>
        <w:spacing w:after="0"/>
        <w:rPr>
          <w:rFonts w:cs="Calibri"/>
        </w:rPr>
      </w:pPr>
      <w:r w:rsidRPr="005D7ABF">
        <w:rPr>
          <w:rStyle w:val="FootnoteReference"/>
          <w:rFonts w:cs="Calibri"/>
        </w:rPr>
        <w:footnoteRef/>
      </w:r>
      <w:r w:rsidRPr="005D7ABF">
        <w:rPr>
          <w:rFonts w:cs="Calibri"/>
        </w:rPr>
        <w:t xml:space="preserve"> Curry, D., </w:t>
      </w:r>
      <w:proofErr w:type="spellStart"/>
      <w:r w:rsidRPr="005D7ABF">
        <w:rPr>
          <w:rFonts w:cs="Calibri"/>
        </w:rPr>
        <w:t>McCarragher</w:t>
      </w:r>
      <w:proofErr w:type="spellEnd"/>
      <w:r w:rsidRPr="005D7ABF">
        <w:rPr>
          <w:rFonts w:cs="Calibri"/>
        </w:rPr>
        <w:t xml:space="preserve">, T., &amp; </w:t>
      </w:r>
      <w:proofErr w:type="spellStart"/>
      <w:r w:rsidRPr="005D7ABF">
        <w:rPr>
          <w:rFonts w:cs="Calibri"/>
        </w:rPr>
        <w:t>Dellmann</w:t>
      </w:r>
      <w:proofErr w:type="spellEnd"/>
      <w:r w:rsidRPr="005D7ABF">
        <w:rPr>
          <w:rFonts w:cs="Calibri"/>
        </w:rPr>
        <w:t xml:space="preserve">-Jenkins, M. (2005). Training, transfer, and turnover: Exploring the relationship among transfer of learning factors and staff retention in child welfare. </w:t>
      </w:r>
      <w:r w:rsidRPr="005D7ABF">
        <w:rPr>
          <w:rFonts w:cs="Calibri"/>
          <w:i/>
          <w:iCs/>
        </w:rPr>
        <w:t>Children and Youth Services Review, 27</w:t>
      </w:r>
      <w:r w:rsidRPr="005D7ABF">
        <w:rPr>
          <w:rFonts w:cs="Calibri"/>
        </w:rPr>
        <w:t>, 931-948.</w:t>
      </w:r>
    </w:p>
  </w:footnote>
  <w:footnote w:id="77">
    <w:p w14:paraId="0E4D2047" w14:textId="77777777" w:rsidR="006044F1" w:rsidRPr="005D7ABF" w:rsidRDefault="006044F1" w:rsidP="005D7ABF">
      <w:pPr>
        <w:pStyle w:val="FootnoteText"/>
        <w:spacing w:after="0"/>
        <w:rPr>
          <w:rFonts w:cs="Calibri"/>
        </w:rPr>
      </w:pPr>
      <w:r w:rsidRPr="005D7ABF">
        <w:rPr>
          <w:rStyle w:val="FootnoteReference"/>
          <w:rFonts w:cs="Calibri"/>
        </w:rPr>
        <w:footnoteRef/>
      </w:r>
      <w:r w:rsidRPr="005D7ABF">
        <w:rPr>
          <w:rFonts w:cs="Calibri"/>
        </w:rPr>
        <w:t xml:space="preserve"> </w:t>
      </w:r>
      <w:proofErr w:type="spellStart"/>
      <w:r w:rsidRPr="005D7ABF">
        <w:rPr>
          <w:rFonts w:cs="Calibri"/>
        </w:rPr>
        <w:t>Brittain</w:t>
      </w:r>
      <w:proofErr w:type="spellEnd"/>
      <w:r w:rsidRPr="005D7ABF">
        <w:rPr>
          <w:rFonts w:cs="Calibri"/>
        </w:rPr>
        <w:t xml:space="preserve">, C. &amp; </w:t>
      </w:r>
      <w:proofErr w:type="spellStart"/>
      <w:r w:rsidRPr="005D7ABF">
        <w:rPr>
          <w:rFonts w:cs="Calibri"/>
        </w:rPr>
        <w:t>Bernotavicz</w:t>
      </w:r>
      <w:proofErr w:type="spellEnd"/>
      <w:r w:rsidRPr="005D7ABF">
        <w:rPr>
          <w:rFonts w:cs="Calibri"/>
        </w:rPr>
        <w:t xml:space="preserve">, F. (2015). </w:t>
      </w:r>
      <w:r w:rsidRPr="005D7ABF">
        <w:rPr>
          <w:rFonts w:cs="Calibri"/>
          <w:i/>
          <w:iCs/>
        </w:rPr>
        <w:t xml:space="preserve">Competency-based workforce development; </w:t>
      </w:r>
      <w:proofErr w:type="gramStart"/>
      <w:r w:rsidRPr="005D7ABF">
        <w:rPr>
          <w:rFonts w:cs="Calibri"/>
          <w:i/>
          <w:iCs/>
        </w:rPr>
        <w:t>A</w:t>
      </w:r>
      <w:proofErr w:type="gramEnd"/>
      <w:r w:rsidRPr="005D7ABF">
        <w:rPr>
          <w:rFonts w:cs="Calibri"/>
          <w:i/>
          <w:iCs/>
        </w:rPr>
        <w:t xml:space="preserve"> synthesis of current approaches</w:t>
      </w:r>
      <w:r w:rsidRPr="005D7ABF">
        <w:rPr>
          <w:rFonts w:cs="Calibri"/>
        </w:rPr>
        <w:t>. Albany, NY: National Child Welfare Workforce Institute.</w:t>
      </w:r>
    </w:p>
  </w:footnote>
  <w:footnote w:id="78">
    <w:p w14:paraId="3FDC068E" w14:textId="77777777" w:rsidR="006044F1" w:rsidRPr="005D7ABF" w:rsidRDefault="006044F1" w:rsidP="00F927DA">
      <w:pPr>
        <w:spacing w:after="0"/>
        <w:rPr>
          <w:rFonts w:cs="Calibri"/>
          <w:sz w:val="20"/>
          <w:szCs w:val="20"/>
        </w:rPr>
      </w:pPr>
      <w:r w:rsidRPr="005D7ABF">
        <w:rPr>
          <w:rStyle w:val="FootnoteReference"/>
          <w:rFonts w:cs="Calibri"/>
          <w:sz w:val="20"/>
          <w:szCs w:val="20"/>
        </w:rPr>
        <w:footnoteRef/>
      </w:r>
      <w:r w:rsidRPr="005D7ABF">
        <w:rPr>
          <w:rFonts w:cs="Calibri"/>
          <w:sz w:val="20"/>
          <w:szCs w:val="20"/>
        </w:rPr>
        <w:t xml:space="preserve"> </w:t>
      </w:r>
      <w:r w:rsidRPr="005D7ABF">
        <w:rPr>
          <w:rFonts w:cs="Calibri"/>
          <w:color w:val="000000"/>
          <w:sz w:val="20"/>
          <w:szCs w:val="20"/>
        </w:rPr>
        <w:t xml:space="preserve">Jones, L.P. &amp; Okamura, A. (2000). </w:t>
      </w:r>
      <w:proofErr w:type="spellStart"/>
      <w:r w:rsidRPr="005D7ABF">
        <w:rPr>
          <w:rFonts w:cs="Calibri"/>
          <w:color w:val="000000"/>
          <w:sz w:val="20"/>
          <w:szCs w:val="20"/>
        </w:rPr>
        <w:t>Reprofessionalizing</w:t>
      </w:r>
      <w:proofErr w:type="spellEnd"/>
      <w:r w:rsidRPr="005D7ABF">
        <w:rPr>
          <w:rFonts w:cs="Calibri"/>
          <w:color w:val="000000"/>
          <w:sz w:val="20"/>
          <w:szCs w:val="20"/>
        </w:rPr>
        <w:t xml:space="preserve"> child welfare services: An evaluation of a Title IV-E training program. </w:t>
      </w:r>
      <w:r w:rsidRPr="005D7ABF">
        <w:rPr>
          <w:rFonts w:cs="Calibri"/>
          <w:i/>
          <w:iCs/>
          <w:color w:val="000000"/>
          <w:sz w:val="20"/>
          <w:szCs w:val="20"/>
        </w:rPr>
        <w:t>Research on Social Work Practice, 10</w:t>
      </w:r>
      <w:r w:rsidRPr="005D7ABF">
        <w:rPr>
          <w:rFonts w:cs="Calibri"/>
          <w:color w:val="000000"/>
          <w:sz w:val="20"/>
          <w:szCs w:val="20"/>
        </w:rPr>
        <w:t>, 607-621.</w:t>
      </w:r>
    </w:p>
  </w:footnote>
  <w:footnote w:id="79">
    <w:p w14:paraId="76D5A5CA" w14:textId="02B55DBC" w:rsidR="006044F1" w:rsidRPr="00F927DA" w:rsidRDefault="006044F1" w:rsidP="00F927DA">
      <w:pPr>
        <w:pStyle w:val="FootnoteText"/>
        <w:spacing w:after="0"/>
        <w:rPr>
          <w:rFonts w:cs="Calibri"/>
        </w:rPr>
      </w:pPr>
      <w:r w:rsidRPr="00F927DA">
        <w:rPr>
          <w:rStyle w:val="FootnoteReference"/>
          <w:rFonts w:cs="Calibri"/>
        </w:rPr>
        <w:footnoteRef/>
      </w:r>
      <w:r w:rsidRPr="00F927DA">
        <w:rPr>
          <w:rFonts w:cs="Calibri"/>
        </w:rPr>
        <w:t xml:space="preserve"> </w:t>
      </w:r>
      <w:r w:rsidRPr="00F927DA">
        <w:rPr>
          <w:rFonts w:cs="Calibri"/>
          <w:color w:val="000000"/>
        </w:rPr>
        <w:t>This concept may also be called secondary trauma, vicarious trauma, or other rela</w:t>
      </w:r>
      <w:r>
        <w:rPr>
          <w:rFonts w:cs="Calibri"/>
          <w:color w:val="000000"/>
        </w:rPr>
        <w:t>ted terms.</w:t>
      </w:r>
      <w:r w:rsidRPr="00F927DA">
        <w:rPr>
          <w:rFonts w:cs="Calibri"/>
          <w:color w:val="000000"/>
        </w:rPr>
        <w:t xml:space="preserve"> </w:t>
      </w:r>
    </w:p>
  </w:footnote>
  <w:footnote w:id="80">
    <w:p w14:paraId="7D463B87" w14:textId="77777777" w:rsidR="006044F1" w:rsidRPr="00F927DA" w:rsidRDefault="006044F1" w:rsidP="00F927DA">
      <w:pPr>
        <w:pStyle w:val="FootnoteText"/>
        <w:spacing w:after="0"/>
        <w:rPr>
          <w:rFonts w:cs="Calibri"/>
        </w:rPr>
      </w:pPr>
      <w:r w:rsidRPr="00F927DA">
        <w:rPr>
          <w:rStyle w:val="FootnoteReference"/>
          <w:rFonts w:cs="Calibri"/>
        </w:rPr>
        <w:footnoteRef/>
      </w:r>
      <w:r w:rsidRPr="00F927DA">
        <w:rPr>
          <w:rFonts w:cs="Calibri"/>
        </w:rPr>
        <w:t xml:space="preserve"> </w:t>
      </w:r>
      <w:proofErr w:type="spellStart"/>
      <w:r w:rsidRPr="00F927DA">
        <w:rPr>
          <w:rFonts w:cs="Calibri"/>
        </w:rPr>
        <w:t>Figley</w:t>
      </w:r>
      <w:proofErr w:type="spellEnd"/>
      <w:r w:rsidRPr="00F927DA">
        <w:rPr>
          <w:rFonts w:cs="Calibri"/>
        </w:rPr>
        <w:t xml:space="preserve">, C.R. (1999, p. 10). Compassion fatigue: Toward a new understanding of the costs of caring. In B.H. </w:t>
      </w:r>
      <w:proofErr w:type="spellStart"/>
      <w:r w:rsidRPr="00F927DA">
        <w:rPr>
          <w:rFonts w:cs="Calibri"/>
        </w:rPr>
        <w:t>Stamm</w:t>
      </w:r>
      <w:proofErr w:type="spellEnd"/>
      <w:r w:rsidRPr="00F927DA">
        <w:rPr>
          <w:rFonts w:cs="Calibri"/>
        </w:rPr>
        <w:t xml:space="preserve"> (Ed.), </w:t>
      </w:r>
      <w:r w:rsidRPr="00F927DA">
        <w:rPr>
          <w:rFonts w:cs="Calibri"/>
          <w:i/>
          <w:iCs/>
        </w:rPr>
        <w:t>Secondary traumatic stress: Self-care issues for clinicians, researchers, and educators</w:t>
      </w:r>
      <w:r w:rsidRPr="00F927DA">
        <w:rPr>
          <w:rFonts w:cs="Calibri"/>
        </w:rPr>
        <w:t xml:space="preserve"> (2nd ed., pp. 3-28). Lutherville, MD: Sidran.</w:t>
      </w:r>
    </w:p>
  </w:footnote>
  <w:footnote w:id="81">
    <w:p w14:paraId="0A66A1B5" w14:textId="77777777" w:rsidR="006044F1" w:rsidRPr="00F927DA" w:rsidRDefault="006044F1" w:rsidP="00F927DA">
      <w:pPr>
        <w:pStyle w:val="FootnoteText"/>
        <w:spacing w:after="0"/>
        <w:rPr>
          <w:rFonts w:cs="Calibri"/>
        </w:rPr>
      </w:pPr>
      <w:r w:rsidRPr="00F927DA">
        <w:rPr>
          <w:rStyle w:val="FootnoteReference"/>
          <w:rFonts w:cs="Calibri"/>
        </w:rPr>
        <w:footnoteRef/>
      </w:r>
      <w:r w:rsidRPr="00F927DA">
        <w:rPr>
          <w:rFonts w:cs="Calibri"/>
        </w:rPr>
        <w:t xml:space="preserve"> Middleton, J.S., &amp; Potter, C.C. (2015). Relationship between vicarious traumatization and turnover among child welfare professionals. </w:t>
      </w:r>
      <w:r w:rsidRPr="00F927DA">
        <w:rPr>
          <w:rFonts w:cs="Calibri"/>
          <w:i/>
          <w:iCs/>
        </w:rPr>
        <w:t>Journal of Public Child Welfare, 9</w:t>
      </w:r>
      <w:r w:rsidRPr="00F927DA">
        <w:rPr>
          <w:rFonts w:cs="Calibri"/>
        </w:rPr>
        <w:t>, 195-216.</w:t>
      </w:r>
    </w:p>
  </w:footnote>
  <w:footnote w:id="82">
    <w:p w14:paraId="1E565361" w14:textId="77777777" w:rsidR="006044F1" w:rsidRPr="00F927DA" w:rsidRDefault="006044F1" w:rsidP="00F927DA">
      <w:pPr>
        <w:pStyle w:val="FootnoteText"/>
        <w:spacing w:after="0"/>
        <w:rPr>
          <w:rFonts w:cs="Calibri"/>
        </w:rPr>
      </w:pPr>
      <w:r w:rsidRPr="00F927DA">
        <w:rPr>
          <w:rStyle w:val="FootnoteReference"/>
          <w:rFonts w:cs="Calibri"/>
        </w:rPr>
        <w:footnoteRef/>
      </w:r>
      <w:r w:rsidRPr="00F927DA">
        <w:rPr>
          <w:rFonts w:cs="Calibri"/>
        </w:rPr>
        <w:t xml:space="preserve"> Choi, G.Y. (2011). Organizational impacts on the secondary traumatic stress of social workers assisting family violence or sexual assault survivors. </w:t>
      </w:r>
      <w:r w:rsidRPr="00F927DA">
        <w:rPr>
          <w:rFonts w:cs="Calibri"/>
          <w:i/>
          <w:iCs/>
        </w:rPr>
        <w:t>Administration in Social Work, 35</w:t>
      </w:r>
      <w:r w:rsidRPr="00F927DA">
        <w:rPr>
          <w:rFonts w:cs="Calibri"/>
        </w:rPr>
        <w:t>, 225-242.</w:t>
      </w:r>
    </w:p>
  </w:footnote>
  <w:footnote w:id="83">
    <w:p w14:paraId="70C973AC" w14:textId="77777777" w:rsidR="006044F1" w:rsidRPr="00F927DA" w:rsidRDefault="006044F1" w:rsidP="00F927DA">
      <w:pPr>
        <w:pStyle w:val="FootnoteText"/>
        <w:spacing w:after="0"/>
        <w:rPr>
          <w:rFonts w:cs="Calibri"/>
        </w:rPr>
      </w:pPr>
      <w:r w:rsidRPr="00F927DA">
        <w:rPr>
          <w:rStyle w:val="FootnoteReference"/>
          <w:rFonts w:cs="Calibri"/>
        </w:rPr>
        <w:footnoteRef/>
      </w:r>
      <w:r w:rsidRPr="00F927DA">
        <w:rPr>
          <w:rFonts w:cs="Calibri"/>
        </w:rPr>
        <w:t xml:space="preserve"> </w:t>
      </w:r>
      <w:proofErr w:type="spellStart"/>
      <w:r w:rsidRPr="00F927DA">
        <w:rPr>
          <w:rFonts w:cs="Calibri"/>
        </w:rPr>
        <w:t>Boyas</w:t>
      </w:r>
      <w:proofErr w:type="spellEnd"/>
      <w:r w:rsidRPr="00F927DA">
        <w:rPr>
          <w:rFonts w:cs="Calibri"/>
        </w:rPr>
        <w:t xml:space="preserve">, J., &amp; Wind, L.H. (2010). Employment-based social capital, job stress, and employee burnout: A public child welfare employee structural model. </w:t>
      </w:r>
      <w:r w:rsidRPr="00F927DA">
        <w:rPr>
          <w:rFonts w:cs="Calibri"/>
          <w:i/>
          <w:iCs/>
        </w:rPr>
        <w:t>Children and Youth Services Review, 32</w:t>
      </w:r>
      <w:r w:rsidRPr="00F927DA">
        <w:rPr>
          <w:rFonts w:cs="Calibri"/>
        </w:rPr>
        <w:t>, 380-388</w:t>
      </w:r>
    </w:p>
  </w:footnote>
  <w:footnote w:id="84">
    <w:p w14:paraId="196C09A2" w14:textId="77777777" w:rsidR="006044F1" w:rsidRPr="00B4570B" w:rsidRDefault="006044F1" w:rsidP="005C5948">
      <w:pPr>
        <w:pStyle w:val="FootnoteText"/>
        <w:spacing w:after="0"/>
        <w:rPr>
          <w:rFonts w:cs="Calibri"/>
        </w:rPr>
      </w:pPr>
      <w:r w:rsidRPr="00B4570B">
        <w:rPr>
          <w:rStyle w:val="FootnoteReference"/>
          <w:rFonts w:cs="Calibri"/>
        </w:rPr>
        <w:footnoteRef/>
      </w:r>
      <w:r w:rsidRPr="00B4570B">
        <w:rPr>
          <w:rFonts w:cs="Calibri"/>
        </w:rPr>
        <w:t xml:space="preserve"> </w:t>
      </w:r>
      <w:r w:rsidRPr="00B4570B">
        <w:rPr>
          <w:rStyle w:val="hlfld-contribauthor"/>
          <w:rFonts w:cs="Calibri"/>
        </w:rPr>
        <w:t xml:space="preserve">Deshpande, </w:t>
      </w:r>
      <w:r w:rsidRPr="00B4570B">
        <w:rPr>
          <w:rStyle w:val="nlmgiven-names"/>
          <w:rFonts w:cs="Calibri"/>
        </w:rPr>
        <w:t>R.</w:t>
      </w:r>
      <w:r w:rsidRPr="00B4570B">
        <w:rPr>
          <w:rFonts w:cs="Calibri"/>
        </w:rPr>
        <w:t xml:space="preserve"> &amp; </w:t>
      </w:r>
      <w:r w:rsidRPr="00B4570B">
        <w:rPr>
          <w:rStyle w:val="hlfld-contribauthor"/>
          <w:rFonts w:cs="Calibri"/>
        </w:rPr>
        <w:t xml:space="preserve">Webster, </w:t>
      </w:r>
      <w:r w:rsidRPr="00B4570B">
        <w:rPr>
          <w:rStyle w:val="nlmgiven-names"/>
          <w:rFonts w:cs="Calibri"/>
        </w:rPr>
        <w:t>F.</w:t>
      </w:r>
      <w:r w:rsidRPr="00B4570B">
        <w:rPr>
          <w:rFonts w:cs="Calibri"/>
        </w:rPr>
        <w:t xml:space="preserve"> (</w:t>
      </w:r>
      <w:r w:rsidRPr="00B4570B">
        <w:rPr>
          <w:rStyle w:val="nlmyear"/>
          <w:rFonts w:cs="Calibri"/>
        </w:rPr>
        <w:t>1989)</w:t>
      </w:r>
      <w:r w:rsidRPr="00B4570B">
        <w:rPr>
          <w:rFonts w:cs="Calibri"/>
        </w:rPr>
        <w:t xml:space="preserve">. </w:t>
      </w:r>
      <w:r w:rsidRPr="00B4570B">
        <w:rPr>
          <w:rStyle w:val="nlmarticle-title"/>
          <w:rFonts w:cs="Calibri"/>
        </w:rPr>
        <w:t>Organizational culture and marketing: Defining the research agenda.</w:t>
      </w:r>
      <w:r w:rsidRPr="00B4570B">
        <w:rPr>
          <w:rFonts w:cs="Calibri"/>
        </w:rPr>
        <w:t xml:space="preserve"> </w:t>
      </w:r>
      <w:r w:rsidRPr="00B4570B">
        <w:rPr>
          <w:rFonts w:cs="Calibri"/>
          <w:i/>
          <w:iCs/>
        </w:rPr>
        <w:t>Journal of Marketing</w:t>
      </w:r>
      <w:r w:rsidRPr="00B4570B">
        <w:rPr>
          <w:rFonts w:cs="Calibri"/>
        </w:rPr>
        <w:t xml:space="preserve">, </w:t>
      </w:r>
      <w:r w:rsidRPr="00B4570B">
        <w:rPr>
          <w:rFonts w:cs="Calibri"/>
          <w:i/>
        </w:rPr>
        <w:t>53,</w:t>
      </w:r>
      <w:r w:rsidRPr="00B4570B">
        <w:rPr>
          <w:rFonts w:cs="Calibri"/>
        </w:rPr>
        <w:t xml:space="preserve"> </w:t>
      </w:r>
      <w:r w:rsidRPr="00B4570B">
        <w:rPr>
          <w:rStyle w:val="nlmfpage"/>
          <w:rFonts w:cs="Calibri"/>
        </w:rPr>
        <w:t>3</w:t>
      </w:r>
      <w:r w:rsidRPr="00B4570B">
        <w:rPr>
          <w:rFonts w:cs="Calibri"/>
        </w:rPr>
        <w:t>-</w:t>
      </w:r>
      <w:r w:rsidRPr="00B4570B">
        <w:rPr>
          <w:rStyle w:val="nlmlpage"/>
          <w:rFonts w:cs="Calibri"/>
        </w:rPr>
        <w:t>15</w:t>
      </w:r>
      <w:r w:rsidRPr="00B4570B">
        <w:rPr>
          <w:rFonts w:cs="Calibri"/>
        </w:rPr>
        <w:t>.</w:t>
      </w:r>
    </w:p>
  </w:footnote>
  <w:footnote w:id="85">
    <w:p w14:paraId="60BA3A61" w14:textId="77777777" w:rsidR="006044F1" w:rsidRPr="00B4570B" w:rsidRDefault="006044F1" w:rsidP="005C5948">
      <w:pPr>
        <w:pStyle w:val="FootnoteText"/>
        <w:spacing w:after="0"/>
        <w:rPr>
          <w:rFonts w:cs="Calibri"/>
        </w:rPr>
      </w:pPr>
      <w:r w:rsidRPr="00B4570B">
        <w:rPr>
          <w:rStyle w:val="FootnoteReference"/>
          <w:rFonts w:cs="Calibri"/>
        </w:rPr>
        <w:footnoteRef/>
      </w:r>
      <w:r w:rsidRPr="00B4570B">
        <w:rPr>
          <w:rFonts w:cs="Calibri"/>
        </w:rPr>
        <w:t xml:space="preserve"> </w:t>
      </w:r>
      <w:proofErr w:type="spellStart"/>
      <w:proofErr w:type="gramStart"/>
      <w:r w:rsidRPr="00B4570B">
        <w:rPr>
          <w:rStyle w:val="hlfld-contribauthor"/>
          <w:rFonts w:cs="Calibri"/>
        </w:rPr>
        <w:t>Mor</w:t>
      </w:r>
      <w:proofErr w:type="spellEnd"/>
      <w:proofErr w:type="gramEnd"/>
      <w:r w:rsidRPr="00B4570B">
        <w:rPr>
          <w:rStyle w:val="hlfld-contribauthor"/>
          <w:rFonts w:cs="Calibri"/>
        </w:rPr>
        <w:t xml:space="preserve"> Barak, </w:t>
      </w:r>
      <w:r w:rsidRPr="00B4570B">
        <w:rPr>
          <w:rStyle w:val="nlmgiven-names"/>
          <w:rFonts w:cs="Calibri"/>
        </w:rPr>
        <w:t>M.E.</w:t>
      </w:r>
      <w:r w:rsidRPr="00B4570B">
        <w:rPr>
          <w:rFonts w:cs="Calibri"/>
        </w:rPr>
        <w:t xml:space="preserve">, </w:t>
      </w:r>
      <w:proofErr w:type="spellStart"/>
      <w:r w:rsidRPr="00B4570B">
        <w:rPr>
          <w:rStyle w:val="hlfld-contribauthor"/>
          <w:rFonts w:cs="Calibri"/>
        </w:rPr>
        <w:t>Nissly</w:t>
      </w:r>
      <w:proofErr w:type="spellEnd"/>
      <w:r w:rsidRPr="00B4570B">
        <w:rPr>
          <w:rStyle w:val="hlfld-contribauthor"/>
          <w:rFonts w:cs="Calibri"/>
        </w:rPr>
        <w:t xml:space="preserve">, </w:t>
      </w:r>
      <w:r w:rsidRPr="00B4570B">
        <w:rPr>
          <w:rStyle w:val="nlmgiven-names"/>
          <w:rFonts w:cs="Calibri"/>
        </w:rPr>
        <w:t>J.A.</w:t>
      </w:r>
      <w:r w:rsidRPr="00B4570B">
        <w:rPr>
          <w:rFonts w:cs="Calibri"/>
        </w:rPr>
        <w:t xml:space="preserve"> &amp; </w:t>
      </w:r>
      <w:r w:rsidRPr="00B4570B">
        <w:rPr>
          <w:rStyle w:val="hlfld-contribauthor"/>
          <w:rFonts w:cs="Calibri"/>
        </w:rPr>
        <w:t xml:space="preserve">Levin, </w:t>
      </w:r>
      <w:r w:rsidRPr="00B4570B">
        <w:rPr>
          <w:rStyle w:val="nlmgiven-names"/>
          <w:rFonts w:cs="Calibri"/>
        </w:rPr>
        <w:t>A.</w:t>
      </w:r>
      <w:r w:rsidRPr="00B4570B">
        <w:rPr>
          <w:rFonts w:cs="Calibri"/>
        </w:rPr>
        <w:t xml:space="preserve"> (</w:t>
      </w:r>
      <w:r w:rsidRPr="00B4570B">
        <w:rPr>
          <w:rStyle w:val="nlmyear"/>
          <w:rFonts w:cs="Calibri"/>
        </w:rPr>
        <w:t>2001)</w:t>
      </w:r>
      <w:r w:rsidRPr="00B4570B">
        <w:rPr>
          <w:rFonts w:cs="Calibri"/>
        </w:rPr>
        <w:t xml:space="preserve">. </w:t>
      </w:r>
      <w:r w:rsidRPr="00B4570B">
        <w:rPr>
          <w:rStyle w:val="nlmarticle-title"/>
          <w:rFonts w:cs="Calibri"/>
        </w:rPr>
        <w:t xml:space="preserve">Antecedents to retention and turnover among child welfare, social work and other human service employees: What can we learn from past research? A review and </w:t>
      </w:r>
      <w:proofErr w:type="spellStart"/>
      <w:r w:rsidRPr="00B4570B">
        <w:rPr>
          <w:rStyle w:val="nlmarticle-title"/>
          <w:rFonts w:cs="Calibri"/>
        </w:rPr>
        <w:t>metanalysis</w:t>
      </w:r>
      <w:proofErr w:type="spellEnd"/>
      <w:r w:rsidRPr="00B4570B">
        <w:rPr>
          <w:rStyle w:val="nlmarticle-title"/>
          <w:rFonts w:cs="Calibri"/>
        </w:rPr>
        <w:t xml:space="preserve">. </w:t>
      </w:r>
      <w:r w:rsidRPr="00B4570B">
        <w:rPr>
          <w:rFonts w:cs="Calibri"/>
          <w:i/>
          <w:iCs/>
        </w:rPr>
        <w:t>Social Service Review</w:t>
      </w:r>
      <w:r w:rsidRPr="00B4570B">
        <w:rPr>
          <w:rFonts w:cs="Calibri"/>
        </w:rPr>
        <w:t xml:space="preserve">, </w:t>
      </w:r>
      <w:r w:rsidRPr="00B4570B">
        <w:rPr>
          <w:rFonts w:cs="Calibri"/>
          <w:i/>
        </w:rPr>
        <w:t>75</w:t>
      </w:r>
      <w:r w:rsidRPr="00B4570B">
        <w:rPr>
          <w:rFonts w:cs="Calibri"/>
        </w:rPr>
        <w:t xml:space="preserve">, </w:t>
      </w:r>
      <w:r w:rsidRPr="00B4570B">
        <w:rPr>
          <w:rStyle w:val="nlmfpage"/>
          <w:rFonts w:cs="Calibri"/>
        </w:rPr>
        <w:t>625</w:t>
      </w:r>
      <w:r w:rsidRPr="00B4570B">
        <w:rPr>
          <w:rFonts w:cs="Calibri"/>
        </w:rPr>
        <w:t>-</w:t>
      </w:r>
      <w:r w:rsidRPr="00B4570B">
        <w:rPr>
          <w:rStyle w:val="nlmlpage"/>
          <w:rFonts w:cs="Calibri"/>
        </w:rPr>
        <w:t>661</w:t>
      </w:r>
      <w:r w:rsidRPr="00B4570B">
        <w:rPr>
          <w:rFonts w:cs="Calibri"/>
        </w:rPr>
        <w:t>.</w:t>
      </w:r>
    </w:p>
  </w:footnote>
  <w:footnote w:id="86">
    <w:p w14:paraId="635E93B9" w14:textId="4478EF33" w:rsidR="006044F1" w:rsidRPr="00B4570B" w:rsidRDefault="006044F1" w:rsidP="005C5948">
      <w:pPr>
        <w:pStyle w:val="FootnoteText"/>
        <w:spacing w:after="0"/>
        <w:rPr>
          <w:rFonts w:cs="Calibri"/>
        </w:rPr>
      </w:pPr>
      <w:r w:rsidRPr="00B4570B">
        <w:rPr>
          <w:rStyle w:val="FootnoteReference"/>
          <w:rFonts w:cs="Calibri"/>
        </w:rPr>
        <w:footnoteRef/>
      </w:r>
      <w:r w:rsidRPr="00B4570B">
        <w:rPr>
          <w:rFonts w:cs="Calibri"/>
        </w:rPr>
        <w:t xml:space="preserve"> Kim, H., &amp; Kao, D. (2014). A meta-analysis of turnover intention predictors among U.S. child welfare worker</w:t>
      </w:r>
      <w:r>
        <w:rPr>
          <w:rFonts w:cs="Calibri"/>
        </w:rPr>
        <w:t>s</w:t>
      </w:r>
      <w:r w:rsidRPr="00B4570B">
        <w:rPr>
          <w:rFonts w:cs="Calibri"/>
        </w:rPr>
        <w:t xml:space="preserve">. </w:t>
      </w:r>
      <w:r w:rsidRPr="00B4570B">
        <w:rPr>
          <w:rFonts w:cs="Calibri"/>
          <w:i/>
        </w:rPr>
        <w:t>Children and Youth Services Review</w:t>
      </w:r>
      <w:r w:rsidRPr="00B4570B">
        <w:rPr>
          <w:rFonts w:cs="Calibri"/>
        </w:rPr>
        <w:t xml:space="preserve">, </w:t>
      </w:r>
      <w:r w:rsidRPr="00B4570B">
        <w:rPr>
          <w:rFonts w:cs="Calibri"/>
          <w:i/>
        </w:rPr>
        <w:t>47</w:t>
      </w:r>
      <w:r w:rsidRPr="00B4570B">
        <w:rPr>
          <w:rFonts w:cs="Calibri"/>
        </w:rPr>
        <w:t>, 214-223.</w:t>
      </w:r>
    </w:p>
  </w:footnote>
  <w:footnote w:id="87">
    <w:p w14:paraId="57FAEBDF" w14:textId="77777777" w:rsidR="006044F1" w:rsidRPr="00B4570B" w:rsidRDefault="006044F1" w:rsidP="00115BEF">
      <w:pPr>
        <w:pStyle w:val="FootnoteText"/>
        <w:spacing w:after="0"/>
        <w:rPr>
          <w:rFonts w:cs="Calibri"/>
        </w:rPr>
      </w:pPr>
      <w:r w:rsidRPr="00B4570B">
        <w:rPr>
          <w:rStyle w:val="FootnoteReference"/>
          <w:rFonts w:cs="Calibri"/>
        </w:rPr>
        <w:footnoteRef/>
      </w:r>
      <w:r w:rsidRPr="00B4570B">
        <w:rPr>
          <w:rFonts w:cs="Calibri"/>
        </w:rPr>
        <w:t xml:space="preserve"> Park, T., &amp; Pierce, B. (2020). Impacts of transformational leadership on turnover intention of child welfare workers. </w:t>
      </w:r>
      <w:r w:rsidRPr="00B4570B">
        <w:rPr>
          <w:rFonts w:cs="Calibri"/>
          <w:i/>
        </w:rPr>
        <w:t>Children and Youth Services Review, 108</w:t>
      </w:r>
      <w:r w:rsidRPr="00B4570B">
        <w:rPr>
          <w:rFonts w:cs="Calibri"/>
        </w:rPr>
        <w:t xml:space="preserve">, 1-10. </w:t>
      </w:r>
    </w:p>
  </w:footnote>
  <w:footnote w:id="88">
    <w:p w14:paraId="5037B0AA" w14:textId="77777777" w:rsidR="006044F1" w:rsidRPr="00B4570B" w:rsidRDefault="006044F1" w:rsidP="00115BEF">
      <w:pPr>
        <w:pStyle w:val="FootnoteText"/>
        <w:spacing w:after="0"/>
        <w:rPr>
          <w:rFonts w:cs="Calibri"/>
        </w:rPr>
      </w:pPr>
      <w:r w:rsidRPr="00B4570B">
        <w:rPr>
          <w:rStyle w:val="FootnoteReference"/>
          <w:rFonts w:cs="Calibri"/>
        </w:rPr>
        <w:footnoteRef/>
      </w:r>
      <w:r w:rsidRPr="00B4570B">
        <w:rPr>
          <w:rFonts w:cs="Calibri"/>
        </w:rPr>
        <w:t xml:space="preserve"> </w:t>
      </w:r>
      <w:proofErr w:type="spellStart"/>
      <w:r w:rsidRPr="00B4570B">
        <w:rPr>
          <w:rFonts w:cs="Calibri"/>
        </w:rPr>
        <w:t>Rittschof</w:t>
      </w:r>
      <w:proofErr w:type="spellEnd"/>
      <w:r w:rsidRPr="00B4570B">
        <w:rPr>
          <w:rFonts w:cs="Calibri"/>
        </w:rPr>
        <w:t xml:space="preserve">, K.R. &amp; Fortunato, V.J. (2015). The influence of transformational leadership and job burnout on child protective services case managers’ commitment and intent to quit. </w:t>
      </w:r>
      <w:r w:rsidRPr="00B4570B">
        <w:rPr>
          <w:rFonts w:cs="Calibri"/>
          <w:i/>
        </w:rPr>
        <w:t>Journal of Social Service Research, 42</w:t>
      </w:r>
      <w:r w:rsidRPr="00B4570B">
        <w:rPr>
          <w:rFonts w:cs="Calibri"/>
        </w:rPr>
        <w:t>, 372-385.</w:t>
      </w:r>
    </w:p>
  </w:footnote>
  <w:footnote w:id="89">
    <w:p w14:paraId="03813DC2" w14:textId="77777777" w:rsidR="006044F1" w:rsidRPr="00B4570B" w:rsidRDefault="006044F1" w:rsidP="00115BEF">
      <w:pPr>
        <w:pStyle w:val="FootnoteText"/>
        <w:spacing w:after="0"/>
        <w:rPr>
          <w:rFonts w:cs="Calibri"/>
        </w:rPr>
      </w:pPr>
      <w:r w:rsidRPr="00B4570B">
        <w:rPr>
          <w:rStyle w:val="FootnoteReference"/>
          <w:rFonts w:cs="Calibri"/>
        </w:rPr>
        <w:footnoteRef/>
      </w:r>
      <w:r w:rsidRPr="00B4570B">
        <w:rPr>
          <w:rFonts w:cs="Calibri"/>
        </w:rPr>
        <w:t xml:space="preserve"> Park, T., &amp; Pierce, B. (2020). Impacts of transformational leadership on turnover intention of child welfare workers. </w:t>
      </w:r>
      <w:r w:rsidRPr="00B4570B">
        <w:rPr>
          <w:rFonts w:cs="Calibri"/>
          <w:i/>
          <w:iCs/>
        </w:rPr>
        <w:t>Children and Youth Services Review, 108</w:t>
      </w:r>
      <w:r w:rsidRPr="00B4570B">
        <w:rPr>
          <w:rFonts w:cs="Calibri"/>
        </w:rPr>
        <w:t xml:space="preserve">. </w:t>
      </w:r>
    </w:p>
  </w:footnote>
  <w:footnote w:id="90">
    <w:p w14:paraId="57ED5188" w14:textId="77777777" w:rsidR="006044F1" w:rsidRPr="00835BC4" w:rsidRDefault="006044F1" w:rsidP="00115BEF">
      <w:pPr>
        <w:pStyle w:val="FootnoteText"/>
        <w:spacing w:after="0"/>
        <w:rPr>
          <w:rFonts w:cs="Calibri"/>
        </w:rPr>
      </w:pPr>
      <w:r w:rsidRPr="00835BC4">
        <w:rPr>
          <w:rStyle w:val="FootnoteReference"/>
          <w:rFonts w:cs="Calibri"/>
        </w:rPr>
        <w:footnoteRef/>
      </w:r>
      <w:r w:rsidRPr="00835BC4">
        <w:rPr>
          <w:rFonts w:cs="Calibri"/>
        </w:rPr>
        <w:t xml:space="preserve"> Design teams are sometimes called simply "child welfare teams" or "workforce innovation teams."</w:t>
      </w:r>
    </w:p>
  </w:footnote>
  <w:footnote w:id="91">
    <w:p w14:paraId="465DA5C6" w14:textId="77777777" w:rsidR="006044F1" w:rsidRPr="00835BC4" w:rsidRDefault="006044F1" w:rsidP="00115BEF">
      <w:pPr>
        <w:spacing w:after="0"/>
        <w:rPr>
          <w:rFonts w:cs="Calibri"/>
          <w:sz w:val="20"/>
          <w:szCs w:val="20"/>
        </w:rPr>
      </w:pPr>
      <w:r w:rsidRPr="00835BC4">
        <w:rPr>
          <w:rStyle w:val="FootnoteReference"/>
          <w:rFonts w:cs="Calibri"/>
          <w:sz w:val="20"/>
          <w:szCs w:val="20"/>
        </w:rPr>
        <w:footnoteRef/>
      </w:r>
      <w:r w:rsidRPr="00835BC4">
        <w:rPr>
          <w:rFonts w:cs="Calibri"/>
          <w:sz w:val="20"/>
          <w:szCs w:val="20"/>
        </w:rPr>
        <w:t xml:space="preserve"> </w:t>
      </w:r>
      <w:r w:rsidRPr="00835BC4">
        <w:rPr>
          <w:rFonts w:cs="Calibri"/>
          <w:color w:val="000000"/>
          <w:sz w:val="20"/>
          <w:szCs w:val="20"/>
        </w:rPr>
        <w:t>Cull, M. &amp; Lindsey, T. (2019). </w:t>
      </w:r>
      <w:proofErr w:type="spellStart"/>
      <w:r w:rsidRPr="00835BC4">
        <w:rPr>
          <w:rFonts w:cs="Calibri"/>
          <w:i/>
          <w:iCs/>
          <w:color w:val="000000"/>
          <w:sz w:val="20"/>
          <w:szCs w:val="20"/>
        </w:rPr>
        <w:t>TeamFirst</w:t>
      </w:r>
      <w:proofErr w:type="spellEnd"/>
      <w:r w:rsidRPr="00835BC4">
        <w:rPr>
          <w:rFonts w:cs="Calibri"/>
          <w:i/>
          <w:iCs/>
          <w:color w:val="000000"/>
          <w:sz w:val="20"/>
          <w:szCs w:val="20"/>
        </w:rPr>
        <w:t>: A field guide for safe, reliable, and effective child welfare teams</w:t>
      </w:r>
      <w:r w:rsidRPr="00835BC4">
        <w:rPr>
          <w:rFonts w:cs="Calibri"/>
          <w:color w:val="000000"/>
          <w:sz w:val="20"/>
          <w:szCs w:val="20"/>
        </w:rPr>
        <w:t xml:space="preserve">. Chicago, IL: </w:t>
      </w:r>
      <w:proofErr w:type="spellStart"/>
      <w:r w:rsidRPr="00835BC4">
        <w:rPr>
          <w:rFonts w:cs="Calibri"/>
          <w:color w:val="000000"/>
          <w:sz w:val="20"/>
          <w:szCs w:val="20"/>
        </w:rPr>
        <w:t>Praed</w:t>
      </w:r>
      <w:proofErr w:type="spellEnd"/>
      <w:r w:rsidRPr="00835BC4">
        <w:rPr>
          <w:rFonts w:cs="Calibri"/>
          <w:color w:val="000000"/>
          <w:sz w:val="20"/>
          <w:szCs w:val="20"/>
        </w:rPr>
        <w:t xml:space="preserve"> Foundation. Annie E. Casey Foundation (2019).</w:t>
      </w:r>
      <w:r w:rsidRPr="00835BC4">
        <w:rPr>
          <w:rStyle w:val="apple-converted-space"/>
          <w:rFonts w:cs="Calibri"/>
          <w:color w:val="000000"/>
          <w:sz w:val="20"/>
          <w:szCs w:val="20"/>
        </w:rPr>
        <w:t> </w:t>
      </w:r>
      <w:r w:rsidRPr="00835BC4">
        <w:rPr>
          <w:rFonts w:cs="Calibri"/>
          <w:i/>
          <w:iCs/>
          <w:color w:val="000000"/>
          <w:sz w:val="20"/>
          <w:szCs w:val="20"/>
        </w:rPr>
        <w:t>Five steps to a stronger child welfare workforce</w:t>
      </w:r>
      <w:r w:rsidRPr="00835BC4">
        <w:rPr>
          <w:rFonts w:cs="Calibri"/>
          <w:color w:val="000000"/>
          <w:sz w:val="20"/>
          <w:szCs w:val="20"/>
        </w:rPr>
        <w:t>:</w:t>
      </w:r>
      <w:r w:rsidRPr="00835BC4">
        <w:rPr>
          <w:rStyle w:val="apple-converted-space"/>
          <w:rFonts w:cs="Calibri"/>
          <w:color w:val="000000"/>
          <w:sz w:val="20"/>
          <w:szCs w:val="20"/>
        </w:rPr>
        <w:t> </w:t>
      </w:r>
      <w:r w:rsidRPr="00835BC4">
        <w:rPr>
          <w:rFonts w:cs="Calibri"/>
          <w:i/>
          <w:iCs/>
          <w:color w:val="000000"/>
          <w:sz w:val="20"/>
          <w:szCs w:val="20"/>
        </w:rPr>
        <w:t>Hiring and retaining the right people on the frontline</w:t>
      </w:r>
      <w:r w:rsidRPr="00835BC4">
        <w:rPr>
          <w:rFonts w:cs="Calibri"/>
          <w:color w:val="000000"/>
          <w:sz w:val="20"/>
          <w:szCs w:val="20"/>
        </w:rPr>
        <w:t>. Baltimore, MD: Author. Retrieved from </w:t>
      </w:r>
      <w:hyperlink r:id="rId12" w:history="1">
        <w:r w:rsidRPr="00835BC4">
          <w:rPr>
            <w:rStyle w:val="Hyperlink"/>
            <w:rFonts w:cs="Calibri"/>
            <w:sz w:val="20"/>
            <w:szCs w:val="20"/>
          </w:rPr>
          <w:t>https://www.aecf.org/resources/five-steps-to-a-stronger-child-welfare-workforce/</w:t>
        </w:r>
      </w:hyperlink>
    </w:p>
  </w:footnote>
  <w:footnote w:id="92">
    <w:p w14:paraId="11AD6ED4" w14:textId="7C5F7887" w:rsidR="006044F1" w:rsidRPr="00835BC4" w:rsidRDefault="006044F1" w:rsidP="00115BEF">
      <w:pPr>
        <w:pStyle w:val="FootnoteText"/>
        <w:spacing w:after="0"/>
        <w:rPr>
          <w:rFonts w:cs="Calibri"/>
        </w:rPr>
      </w:pPr>
      <w:r w:rsidRPr="00835BC4">
        <w:rPr>
          <w:rStyle w:val="FootnoteReference"/>
          <w:rFonts w:cs="Calibri"/>
        </w:rPr>
        <w:footnoteRef/>
      </w:r>
      <w:r w:rsidRPr="00835BC4">
        <w:rPr>
          <w:rFonts w:cs="Calibri"/>
        </w:rPr>
        <w:t xml:space="preserve"> Anderson-Butcher, D., Lawson, H. A., &amp; </w:t>
      </w:r>
      <w:proofErr w:type="spellStart"/>
      <w:r w:rsidRPr="00835BC4">
        <w:rPr>
          <w:rFonts w:cs="Calibri"/>
        </w:rPr>
        <w:t>Barkdull</w:t>
      </w:r>
      <w:proofErr w:type="spellEnd"/>
      <w:r w:rsidRPr="00835BC4">
        <w:rPr>
          <w:rFonts w:cs="Calibri"/>
        </w:rPr>
        <w:t xml:space="preserve">, C. (2002). An evaluation of child welfare design teams in four states. </w:t>
      </w:r>
      <w:r w:rsidRPr="00835BC4">
        <w:rPr>
          <w:rFonts w:cs="Calibri"/>
          <w:i/>
          <w:iCs/>
        </w:rPr>
        <w:t>Journal</w:t>
      </w:r>
      <w:r w:rsidRPr="00835BC4">
        <w:rPr>
          <w:rFonts w:cs="Calibri"/>
        </w:rPr>
        <w:t xml:space="preserve"> </w:t>
      </w:r>
      <w:r w:rsidRPr="00835BC4">
        <w:rPr>
          <w:rFonts w:cs="Calibri"/>
          <w:i/>
          <w:iCs/>
        </w:rPr>
        <w:t>of Health &amp; Social Policy, 15</w:t>
      </w:r>
      <w:r w:rsidRPr="00835BC4">
        <w:rPr>
          <w:rFonts w:cs="Calibri"/>
        </w:rPr>
        <w:t xml:space="preserve">, 131-161. </w:t>
      </w:r>
      <w:proofErr w:type="spellStart"/>
      <w:r w:rsidRPr="00835BC4">
        <w:rPr>
          <w:rFonts w:cs="Calibri"/>
        </w:rPr>
        <w:t>Caringi</w:t>
      </w:r>
      <w:proofErr w:type="spellEnd"/>
      <w:r w:rsidRPr="00835BC4">
        <w:rPr>
          <w:rFonts w:cs="Calibri"/>
        </w:rPr>
        <w:t xml:space="preserve">, J.C., </w:t>
      </w:r>
      <w:proofErr w:type="spellStart"/>
      <w:r w:rsidRPr="00835BC4">
        <w:rPr>
          <w:rFonts w:cs="Calibri"/>
        </w:rPr>
        <w:t>Strolin-Goltzman</w:t>
      </w:r>
      <w:proofErr w:type="spellEnd"/>
      <w:r w:rsidRPr="00835BC4">
        <w:rPr>
          <w:rFonts w:cs="Calibri"/>
        </w:rPr>
        <w:t xml:space="preserve">, J., Lawson, H.A., McCarthy, M., Briar-Lawson, K., &amp; Claiborne, N. (2008). Child welfare design teams: An intervention to improve workforce retention and facilitate organizational development. </w:t>
      </w:r>
      <w:r w:rsidRPr="00835BC4">
        <w:rPr>
          <w:rFonts w:cs="Calibri"/>
          <w:i/>
          <w:iCs/>
        </w:rPr>
        <w:t>Research on Social Work Practice, 18</w:t>
      </w:r>
      <w:r w:rsidRPr="00835BC4">
        <w:rPr>
          <w:rFonts w:cs="Calibri"/>
        </w:rPr>
        <w:t xml:space="preserve">, 565-74. </w:t>
      </w:r>
      <w:proofErr w:type="spellStart"/>
      <w:r w:rsidRPr="00835BC4">
        <w:rPr>
          <w:rFonts w:cs="Calibri"/>
        </w:rPr>
        <w:t>Strolin-Goltzman</w:t>
      </w:r>
      <w:proofErr w:type="spellEnd"/>
      <w:r w:rsidRPr="00835BC4">
        <w:rPr>
          <w:rFonts w:cs="Calibri"/>
        </w:rPr>
        <w:t xml:space="preserve">, J. (2010). Improving turnover in public child welfare: Outcomes from an organizational intervention. </w:t>
      </w:r>
      <w:r w:rsidRPr="00835BC4">
        <w:rPr>
          <w:rFonts w:cs="Calibri"/>
          <w:i/>
          <w:iCs/>
        </w:rPr>
        <w:t>Children and Youth Services Review, 32</w:t>
      </w:r>
      <w:r w:rsidRPr="00835BC4">
        <w:rPr>
          <w:rFonts w:cs="Calibri"/>
        </w:rPr>
        <w:t xml:space="preserve">, 1388-1395. </w:t>
      </w:r>
      <w:proofErr w:type="spellStart"/>
      <w:r w:rsidRPr="00835BC4">
        <w:rPr>
          <w:rFonts w:cs="Calibri"/>
        </w:rPr>
        <w:t>Strolin-Goltzman</w:t>
      </w:r>
      <w:proofErr w:type="spellEnd"/>
      <w:r w:rsidRPr="00835BC4">
        <w:rPr>
          <w:rFonts w:cs="Calibri"/>
        </w:rPr>
        <w:t xml:space="preserve">, J., </w:t>
      </w:r>
      <w:r>
        <w:rPr>
          <w:rFonts w:cs="Calibri"/>
        </w:rPr>
        <w:t xml:space="preserve">et al. </w:t>
      </w:r>
      <w:r w:rsidRPr="00835BC4">
        <w:rPr>
          <w:rFonts w:cs="Calibri"/>
        </w:rPr>
        <w:t xml:space="preserve">(2009). Design teams: A promising organizational intervention for improving turnover rates in the child welfare workforce. </w:t>
      </w:r>
      <w:r w:rsidRPr="00835BC4">
        <w:rPr>
          <w:rFonts w:cs="Calibri"/>
          <w:i/>
          <w:iCs/>
        </w:rPr>
        <w:t>Child Welfare, 88</w:t>
      </w:r>
      <w:r w:rsidRPr="00835BC4">
        <w:rPr>
          <w:rFonts w:cs="Calibri"/>
        </w:rPr>
        <w:t xml:space="preserve">, 149-168. Claiborne, N., </w:t>
      </w:r>
      <w:r>
        <w:rPr>
          <w:rFonts w:cs="Calibri"/>
        </w:rPr>
        <w:t xml:space="preserve">et al. </w:t>
      </w:r>
      <w:r w:rsidRPr="00835BC4">
        <w:rPr>
          <w:rFonts w:cs="Calibri"/>
        </w:rPr>
        <w:t xml:space="preserve">(2014). Design teams as an organizational intervention to improve job satisfaction and worker turnover in public child welfare. </w:t>
      </w:r>
      <w:r w:rsidRPr="00835BC4">
        <w:rPr>
          <w:rFonts w:cs="Calibri"/>
          <w:i/>
          <w:iCs/>
        </w:rPr>
        <w:t>Journal of Family Strengths, 14</w:t>
      </w:r>
      <w:r w:rsidRPr="00835BC4">
        <w:rPr>
          <w:rFonts w:cs="Calibri"/>
        </w:rPr>
        <w:t xml:space="preserve">, 1-20. Lawrence, C.K., Zeitlin, W.S., </w:t>
      </w:r>
      <w:proofErr w:type="spellStart"/>
      <w:r w:rsidRPr="00835BC4">
        <w:rPr>
          <w:rFonts w:cs="Calibri"/>
        </w:rPr>
        <w:t>Auerbach</w:t>
      </w:r>
      <w:proofErr w:type="spellEnd"/>
      <w:r w:rsidRPr="00835BC4">
        <w:rPr>
          <w:rFonts w:cs="Calibri"/>
        </w:rPr>
        <w:t xml:space="preserve">, C., &amp; Claiborne, N. (2015). Climate change in private child welfare organizations. </w:t>
      </w:r>
      <w:r w:rsidRPr="00835BC4">
        <w:rPr>
          <w:rFonts w:cs="Calibri"/>
          <w:i/>
          <w:iCs/>
        </w:rPr>
        <w:t>Human Service Organizations Management Leadership &amp; Governance, 39</w:t>
      </w:r>
      <w:r w:rsidRPr="00835BC4">
        <w:rPr>
          <w:rFonts w:cs="Calibri"/>
        </w:rPr>
        <w:t xml:space="preserve">, 290-305. Lawrence, C., Claiborne, N., Zeitlin, W., &amp; </w:t>
      </w:r>
      <w:proofErr w:type="spellStart"/>
      <w:r w:rsidRPr="00835BC4">
        <w:rPr>
          <w:rFonts w:cs="Calibri"/>
        </w:rPr>
        <w:t>Auerbach</w:t>
      </w:r>
      <w:proofErr w:type="spellEnd"/>
      <w:r w:rsidRPr="00835BC4">
        <w:rPr>
          <w:rFonts w:cs="Calibri"/>
        </w:rPr>
        <w:t xml:space="preserve">, C. (2016). Finish what you start: A study of Design Team change initiatives’ impact on agency climate. </w:t>
      </w:r>
      <w:r w:rsidRPr="00835BC4">
        <w:rPr>
          <w:rFonts w:cs="Calibri"/>
          <w:i/>
          <w:iCs/>
        </w:rPr>
        <w:t>Children and Youth Services Review, 63</w:t>
      </w:r>
      <w:r w:rsidRPr="00835BC4">
        <w:rPr>
          <w:rFonts w:cs="Calibri"/>
        </w:rPr>
        <w:t xml:space="preserve">, 40-46. </w:t>
      </w:r>
      <w:proofErr w:type="spellStart"/>
      <w:r w:rsidRPr="00835BC4">
        <w:rPr>
          <w:rFonts w:cs="Calibri"/>
        </w:rPr>
        <w:t>Leake</w:t>
      </w:r>
      <w:proofErr w:type="spellEnd"/>
      <w:r w:rsidRPr="00835BC4">
        <w:rPr>
          <w:rFonts w:cs="Calibri"/>
        </w:rPr>
        <w:t xml:space="preserve">, R., De Guzman, A., </w:t>
      </w:r>
      <w:proofErr w:type="spellStart"/>
      <w:r w:rsidRPr="00835BC4">
        <w:rPr>
          <w:rFonts w:cs="Calibri"/>
        </w:rPr>
        <w:t>Golieb</w:t>
      </w:r>
      <w:proofErr w:type="spellEnd"/>
      <w:r w:rsidRPr="00835BC4">
        <w:rPr>
          <w:rFonts w:cs="Calibri"/>
        </w:rPr>
        <w:t xml:space="preserve">, K., &amp; </w:t>
      </w:r>
      <w:proofErr w:type="spellStart"/>
      <w:r w:rsidRPr="00835BC4">
        <w:rPr>
          <w:rFonts w:cs="Calibri"/>
        </w:rPr>
        <w:t>Rienks</w:t>
      </w:r>
      <w:proofErr w:type="spellEnd"/>
      <w:r w:rsidRPr="00835BC4">
        <w:rPr>
          <w:rFonts w:cs="Calibri"/>
        </w:rPr>
        <w:t xml:space="preserve">, S. (2020). Workforce development strategies: a model for preparing the workforce to support transformational systems in child welfare. </w:t>
      </w:r>
      <w:r w:rsidRPr="00835BC4">
        <w:rPr>
          <w:rFonts w:cs="Calibri"/>
          <w:i/>
          <w:iCs/>
        </w:rPr>
        <w:t>Journal of Public Child Welfare, 14</w:t>
      </w:r>
      <w:r w:rsidRPr="00835BC4">
        <w:rPr>
          <w:rFonts w:cs="Calibri"/>
        </w:rPr>
        <w:t>, 19-37.</w:t>
      </w:r>
    </w:p>
  </w:footnote>
  <w:footnote w:id="93">
    <w:p w14:paraId="40C46E3B" w14:textId="4BDA94AA" w:rsidR="006044F1" w:rsidRDefault="006044F1" w:rsidP="00892CDB">
      <w:pPr>
        <w:pStyle w:val="FootnoteText"/>
        <w:spacing w:after="0"/>
      </w:pPr>
      <w:r>
        <w:rPr>
          <w:rStyle w:val="FootnoteReference"/>
        </w:rPr>
        <w:footnoteRef/>
      </w:r>
      <w:r>
        <w:t xml:space="preserve"> </w:t>
      </w:r>
      <w:proofErr w:type="spellStart"/>
      <w:r w:rsidRPr="00835BC4">
        <w:rPr>
          <w:rFonts w:cs="Calibri"/>
        </w:rPr>
        <w:t>Strolin-Goltzman</w:t>
      </w:r>
      <w:proofErr w:type="spellEnd"/>
      <w:r w:rsidRPr="00835BC4">
        <w:rPr>
          <w:rFonts w:cs="Calibri"/>
        </w:rPr>
        <w:t xml:space="preserve">, J. (2010). Improving turnover in public child welfare: Outcomes from an organizational intervention. </w:t>
      </w:r>
      <w:r w:rsidRPr="00835BC4">
        <w:rPr>
          <w:rFonts w:cs="Calibri"/>
          <w:i/>
          <w:iCs/>
        </w:rPr>
        <w:t>Children and Youth Services Review, 32</w:t>
      </w:r>
      <w:r w:rsidRPr="00835BC4">
        <w:rPr>
          <w:rFonts w:cs="Calibri"/>
        </w:rPr>
        <w:t>, 1388-1395.</w:t>
      </w:r>
    </w:p>
  </w:footnote>
  <w:footnote w:id="94">
    <w:p w14:paraId="76203FF4" w14:textId="77777777" w:rsidR="006044F1" w:rsidRPr="00B964F3" w:rsidRDefault="006044F1" w:rsidP="00115BEF">
      <w:pPr>
        <w:pStyle w:val="FootnoteText"/>
        <w:spacing w:after="0"/>
        <w:rPr>
          <w:rFonts w:cs="Calibri"/>
        </w:rPr>
      </w:pPr>
      <w:r w:rsidRPr="00B964F3">
        <w:rPr>
          <w:rStyle w:val="FootnoteReference"/>
          <w:rFonts w:cs="Calibri"/>
        </w:rPr>
        <w:footnoteRef/>
      </w:r>
      <w:r w:rsidRPr="00B964F3">
        <w:rPr>
          <w:rFonts w:cs="Calibri"/>
        </w:rPr>
        <w:t xml:space="preserve"> Glisson, C., Dukes, D. &amp; Green, P. (2006). The effects of ARC organizational intervention on caseworker turnover, climate, and culture in children’s service systems. </w:t>
      </w:r>
      <w:r w:rsidRPr="00B964F3">
        <w:rPr>
          <w:rFonts w:cs="Calibri"/>
          <w:i/>
          <w:iCs/>
        </w:rPr>
        <w:t>Child Abuse &amp; Neglect, 30</w:t>
      </w:r>
      <w:r w:rsidRPr="00B964F3">
        <w:rPr>
          <w:rFonts w:cs="Calibri"/>
        </w:rPr>
        <w:t>, 855-880.</w:t>
      </w:r>
    </w:p>
  </w:footnote>
  <w:footnote w:id="95">
    <w:p w14:paraId="4E425B6A" w14:textId="77777777" w:rsidR="006044F1" w:rsidRPr="00B964F3" w:rsidRDefault="006044F1" w:rsidP="00115BEF">
      <w:pPr>
        <w:pStyle w:val="FootnoteText"/>
        <w:spacing w:after="0"/>
        <w:rPr>
          <w:rFonts w:cs="Calibri"/>
        </w:rPr>
      </w:pPr>
      <w:r w:rsidRPr="00B964F3">
        <w:rPr>
          <w:rStyle w:val="FootnoteReference"/>
          <w:rFonts w:cs="Calibri"/>
        </w:rPr>
        <w:footnoteRef/>
      </w:r>
      <w:r w:rsidRPr="00B964F3">
        <w:rPr>
          <w:rFonts w:cs="Calibri"/>
        </w:rPr>
        <w:t xml:space="preserve"> Glisson, C., </w:t>
      </w:r>
      <w:proofErr w:type="spellStart"/>
      <w:r w:rsidRPr="00B964F3">
        <w:rPr>
          <w:rFonts w:cs="Calibri"/>
        </w:rPr>
        <w:t>Schoenwald</w:t>
      </w:r>
      <w:proofErr w:type="spellEnd"/>
      <w:r w:rsidRPr="00B964F3">
        <w:rPr>
          <w:rFonts w:cs="Calibri"/>
        </w:rPr>
        <w:t xml:space="preserve">, S.K., </w:t>
      </w:r>
      <w:proofErr w:type="spellStart"/>
      <w:r w:rsidRPr="00B964F3">
        <w:rPr>
          <w:rFonts w:cs="Calibri"/>
        </w:rPr>
        <w:t>Hemmelgarn</w:t>
      </w:r>
      <w:proofErr w:type="spellEnd"/>
      <w:r w:rsidRPr="00B964F3">
        <w:rPr>
          <w:rFonts w:cs="Calibri"/>
        </w:rPr>
        <w:t>, A.L., Green, P.D., Dukes, D., Armstrong, K.S., &amp; Chapman, J.E. (2010). Randomized trial of MST and ARC in a two-level evidence-based treatment implementation strategy. </w:t>
      </w:r>
    </w:p>
    <w:p w14:paraId="62B9E160" w14:textId="77777777" w:rsidR="006044F1" w:rsidRPr="00B964F3" w:rsidRDefault="006044F1" w:rsidP="00115BEF">
      <w:pPr>
        <w:pStyle w:val="FootnoteText"/>
        <w:spacing w:after="0"/>
        <w:rPr>
          <w:rFonts w:cs="Calibri"/>
        </w:rPr>
      </w:pPr>
      <w:r w:rsidRPr="00B964F3">
        <w:rPr>
          <w:rFonts w:cs="Calibri"/>
          <w:i/>
          <w:iCs/>
        </w:rPr>
        <w:t>Journal of Consulting and Clinical Psychology, 78</w:t>
      </w:r>
      <w:r w:rsidRPr="00B964F3">
        <w:rPr>
          <w:rFonts w:cs="Calibri"/>
        </w:rPr>
        <w:t xml:space="preserve">, 537-550. Glisson, C., Green, P., &amp; Williams, N.J. (2012). Assessing the Organizational Social Context (OSC) of child welfare systems: Implications for research and practice. </w:t>
      </w:r>
      <w:r w:rsidRPr="00B964F3">
        <w:rPr>
          <w:rFonts w:cs="Calibri"/>
          <w:i/>
          <w:iCs/>
        </w:rPr>
        <w:t>Child Abuse &amp; Neglect, 36</w:t>
      </w:r>
      <w:r w:rsidRPr="00B964F3">
        <w:rPr>
          <w:rFonts w:cs="Calibri"/>
        </w:rPr>
        <w:t xml:space="preserve">, 621-632. Glisson, C., Williams, N.J., </w:t>
      </w:r>
      <w:proofErr w:type="spellStart"/>
      <w:r w:rsidRPr="00B964F3">
        <w:rPr>
          <w:rFonts w:cs="Calibri"/>
        </w:rPr>
        <w:t>Hemmelgarn</w:t>
      </w:r>
      <w:proofErr w:type="spellEnd"/>
      <w:r w:rsidRPr="00B964F3">
        <w:rPr>
          <w:rFonts w:cs="Calibri"/>
        </w:rPr>
        <w:t>, A., Proctor, E., &amp; Green, P. (2016). Aligning organizational priorities with ARC to improve youth mental health service outcomes. </w:t>
      </w:r>
      <w:r w:rsidRPr="00B964F3">
        <w:rPr>
          <w:rFonts w:cs="Calibri"/>
          <w:i/>
          <w:iCs/>
        </w:rPr>
        <w:t>Journal of Consulting and Clinical Psychology, 84</w:t>
      </w:r>
      <w:r w:rsidRPr="00B964F3">
        <w:rPr>
          <w:rFonts w:cs="Calibri"/>
        </w:rPr>
        <w:t xml:space="preserve">, 713-725. Glisson, C., Williams, N.J., </w:t>
      </w:r>
      <w:proofErr w:type="spellStart"/>
      <w:r w:rsidRPr="00B964F3">
        <w:rPr>
          <w:rFonts w:cs="Calibri"/>
        </w:rPr>
        <w:t>Hemmelgarn</w:t>
      </w:r>
      <w:proofErr w:type="spellEnd"/>
      <w:r w:rsidRPr="00B964F3">
        <w:rPr>
          <w:rFonts w:cs="Calibri"/>
        </w:rPr>
        <w:t xml:space="preserve">, A., Proctor, E., &amp; Green, P. (2016). Increasing clinicians’ EBT exploration and preparation behavior in youth mental health services by changing organizational culture with ARC. </w:t>
      </w:r>
      <w:proofErr w:type="spellStart"/>
      <w:r w:rsidRPr="00B964F3">
        <w:rPr>
          <w:rFonts w:cs="Calibri"/>
          <w:i/>
          <w:iCs/>
        </w:rPr>
        <w:t>Behaviour</w:t>
      </w:r>
      <w:proofErr w:type="spellEnd"/>
      <w:r w:rsidRPr="00B964F3">
        <w:rPr>
          <w:rFonts w:cs="Calibri"/>
          <w:i/>
          <w:iCs/>
        </w:rPr>
        <w:t xml:space="preserve"> Research and Therapy, 76</w:t>
      </w:r>
      <w:r w:rsidRPr="00B964F3">
        <w:rPr>
          <w:rFonts w:cs="Calibri"/>
        </w:rPr>
        <w:t xml:space="preserve">, 40-46. </w:t>
      </w:r>
    </w:p>
  </w:footnote>
  <w:footnote w:id="96">
    <w:p w14:paraId="100800FC" w14:textId="77777777" w:rsidR="006044F1" w:rsidRPr="00B964F3" w:rsidRDefault="006044F1" w:rsidP="00115BEF">
      <w:pPr>
        <w:pStyle w:val="FootnoteText"/>
        <w:spacing w:after="0"/>
        <w:rPr>
          <w:rFonts w:cs="Calibri"/>
        </w:rPr>
      </w:pPr>
      <w:r w:rsidRPr="00B964F3">
        <w:rPr>
          <w:rStyle w:val="FootnoteReference"/>
          <w:rFonts w:cs="Calibri"/>
        </w:rPr>
        <w:footnoteRef/>
      </w:r>
      <w:r w:rsidRPr="00B964F3">
        <w:rPr>
          <w:rFonts w:cs="Calibri"/>
        </w:rPr>
        <w:t xml:space="preserve"> Glisson, C., Dukes, D. &amp; Green, P. (2006). The effects of ARC organizational intervention on caseworker turnover, climate, and culture in children’s service systems. </w:t>
      </w:r>
      <w:r w:rsidRPr="00B964F3">
        <w:rPr>
          <w:rFonts w:cs="Calibri"/>
          <w:i/>
          <w:iCs/>
        </w:rPr>
        <w:t>Child Abuse &amp; Neglect, 30</w:t>
      </w:r>
      <w:r w:rsidRPr="00B964F3">
        <w:rPr>
          <w:rFonts w:cs="Calibri"/>
        </w:rPr>
        <w:t>, 855-880.</w:t>
      </w:r>
    </w:p>
  </w:footnote>
  <w:footnote w:id="97">
    <w:p w14:paraId="7AAAD7F3" w14:textId="25EDE119" w:rsidR="006044F1" w:rsidRPr="00B964F3" w:rsidRDefault="006044F1" w:rsidP="00115BEF">
      <w:pPr>
        <w:pStyle w:val="FootnoteText"/>
        <w:spacing w:after="0"/>
        <w:rPr>
          <w:rFonts w:cs="Calibri"/>
        </w:rPr>
      </w:pPr>
      <w:r w:rsidRPr="00B964F3">
        <w:rPr>
          <w:rStyle w:val="FootnoteReference"/>
          <w:rFonts w:cs="Calibri"/>
        </w:rPr>
        <w:footnoteRef/>
      </w:r>
      <w:r w:rsidRPr="00B964F3">
        <w:rPr>
          <w:rFonts w:cs="Calibri"/>
        </w:rPr>
        <w:t xml:space="preserve"> Glisson, C., Green, P., &amp; Williams, N.J. (2012). Assessing the Organizational Social Context (OSC) of child welfare systems: Implications for research and practice. </w:t>
      </w:r>
      <w:r w:rsidRPr="00B964F3">
        <w:rPr>
          <w:rFonts w:cs="Calibri"/>
          <w:i/>
          <w:iCs/>
        </w:rPr>
        <w:t>Child Abuse &amp; Neglect, 36</w:t>
      </w:r>
      <w:r w:rsidRPr="00B964F3">
        <w:rPr>
          <w:rFonts w:cs="Calibri"/>
        </w:rPr>
        <w:t>, 621-632.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position w:val="0"/>
        <w:sz w:val="24"/>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4"/>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4"/>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302DEC"/>
    <w:multiLevelType w:val="hybridMultilevel"/>
    <w:tmpl w:val="23C6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030AF"/>
    <w:multiLevelType w:val="hybridMultilevel"/>
    <w:tmpl w:val="40E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923D15"/>
    <w:multiLevelType w:val="hybridMultilevel"/>
    <w:tmpl w:val="41C0ED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136E1"/>
    <w:multiLevelType w:val="hybridMultilevel"/>
    <w:tmpl w:val="26C6B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911B9"/>
    <w:multiLevelType w:val="hybridMultilevel"/>
    <w:tmpl w:val="CEEE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6C787F"/>
    <w:multiLevelType w:val="hybridMultilevel"/>
    <w:tmpl w:val="C360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1C494D"/>
    <w:multiLevelType w:val="hybridMultilevel"/>
    <w:tmpl w:val="B4828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21463E"/>
    <w:multiLevelType w:val="hybridMultilevel"/>
    <w:tmpl w:val="12A2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62F09"/>
    <w:multiLevelType w:val="hybridMultilevel"/>
    <w:tmpl w:val="400ED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CC20BD"/>
    <w:multiLevelType w:val="hybridMultilevel"/>
    <w:tmpl w:val="7B8E5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254A2"/>
    <w:multiLevelType w:val="hybridMultilevel"/>
    <w:tmpl w:val="2400A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2946BC9"/>
    <w:multiLevelType w:val="hybridMultilevel"/>
    <w:tmpl w:val="9F9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07E01"/>
    <w:multiLevelType w:val="hybridMultilevel"/>
    <w:tmpl w:val="91F61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28594F"/>
    <w:multiLevelType w:val="hybridMultilevel"/>
    <w:tmpl w:val="14D6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743FF5"/>
    <w:multiLevelType w:val="hybridMultilevel"/>
    <w:tmpl w:val="D80C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B1E8E"/>
    <w:multiLevelType w:val="hybridMultilevel"/>
    <w:tmpl w:val="D1183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31CDC"/>
    <w:multiLevelType w:val="hybridMultilevel"/>
    <w:tmpl w:val="CE9A99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B271CE"/>
    <w:multiLevelType w:val="hybridMultilevel"/>
    <w:tmpl w:val="9A40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221847"/>
    <w:multiLevelType w:val="hybridMultilevel"/>
    <w:tmpl w:val="64908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A67ED"/>
    <w:multiLevelType w:val="hybridMultilevel"/>
    <w:tmpl w:val="99C81210"/>
    <w:lvl w:ilvl="0" w:tplc="9474C6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905254"/>
    <w:multiLevelType w:val="hybridMultilevel"/>
    <w:tmpl w:val="5BE2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1A42DD"/>
    <w:multiLevelType w:val="multilevel"/>
    <w:tmpl w:val="A970AD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E6E760D"/>
    <w:multiLevelType w:val="hybridMultilevel"/>
    <w:tmpl w:val="3E7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7A3741"/>
    <w:multiLevelType w:val="hybridMultilevel"/>
    <w:tmpl w:val="D68EB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B8737A"/>
    <w:multiLevelType w:val="hybridMultilevel"/>
    <w:tmpl w:val="CE8689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A9E7051"/>
    <w:multiLevelType w:val="hybridMultilevel"/>
    <w:tmpl w:val="53D2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55591A"/>
    <w:multiLevelType w:val="hybridMultilevel"/>
    <w:tmpl w:val="EC52B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456820"/>
    <w:multiLevelType w:val="hybridMultilevel"/>
    <w:tmpl w:val="9C7A7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0DC7A75"/>
    <w:multiLevelType w:val="hybridMultilevel"/>
    <w:tmpl w:val="C9728D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B6A32"/>
    <w:multiLevelType w:val="hybridMultilevel"/>
    <w:tmpl w:val="D15AF226"/>
    <w:lvl w:ilvl="0" w:tplc="B9BE44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714640"/>
    <w:multiLevelType w:val="hybridMultilevel"/>
    <w:tmpl w:val="64C2F1EA"/>
    <w:lvl w:ilvl="0" w:tplc="9474C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E637DA"/>
    <w:multiLevelType w:val="hybridMultilevel"/>
    <w:tmpl w:val="C1C88C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4E55593C"/>
    <w:multiLevelType w:val="hybridMultilevel"/>
    <w:tmpl w:val="23C6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C847B0"/>
    <w:multiLevelType w:val="hybridMultilevel"/>
    <w:tmpl w:val="DA18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E54916"/>
    <w:multiLevelType w:val="hybridMultilevel"/>
    <w:tmpl w:val="2DFE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A05AF9"/>
    <w:multiLevelType w:val="hybridMultilevel"/>
    <w:tmpl w:val="7470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79680D"/>
    <w:multiLevelType w:val="hybridMultilevel"/>
    <w:tmpl w:val="B402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7C5C44"/>
    <w:multiLevelType w:val="hybridMultilevel"/>
    <w:tmpl w:val="DCC64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1140E13"/>
    <w:multiLevelType w:val="hybridMultilevel"/>
    <w:tmpl w:val="32207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25083"/>
    <w:multiLevelType w:val="hybridMultilevel"/>
    <w:tmpl w:val="DA4C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904837"/>
    <w:multiLevelType w:val="hybridMultilevel"/>
    <w:tmpl w:val="7040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8E7222"/>
    <w:multiLevelType w:val="hybridMultilevel"/>
    <w:tmpl w:val="960C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5D1CB7"/>
    <w:multiLevelType w:val="hybridMultilevel"/>
    <w:tmpl w:val="7DBC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D0643"/>
    <w:multiLevelType w:val="hybridMultilevel"/>
    <w:tmpl w:val="292855C0"/>
    <w:lvl w:ilvl="0" w:tplc="88BAB304">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48D0DE7"/>
    <w:multiLevelType w:val="hybridMultilevel"/>
    <w:tmpl w:val="1FA093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5051C4A"/>
    <w:multiLevelType w:val="hybridMultilevel"/>
    <w:tmpl w:val="EBE8D9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5737F87"/>
    <w:multiLevelType w:val="hybridMultilevel"/>
    <w:tmpl w:val="D7AEC6CA"/>
    <w:lvl w:ilvl="0" w:tplc="B9BE44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FD21EA"/>
    <w:multiLevelType w:val="hybridMultilevel"/>
    <w:tmpl w:val="91BE98D4"/>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2" w15:restartNumberingAfterBreak="0">
    <w:nsid w:val="7AF26006"/>
    <w:multiLevelType w:val="hybridMultilevel"/>
    <w:tmpl w:val="FDE0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24"/>
  </w:num>
  <w:num w:numId="4">
    <w:abstractNumId w:val="12"/>
  </w:num>
  <w:num w:numId="5">
    <w:abstractNumId w:val="45"/>
  </w:num>
  <w:num w:numId="6">
    <w:abstractNumId w:val="42"/>
  </w:num>
  <w:num w:numId="7">
    <w:abstractNumId w:val="43"/>
  </w:num>
  <w:num w:numId="8">
    <w:abstractNumId w:val="31"/>
  </w:num>
  <w:num w:numId="9">
    <w:abstractNumId w:val="10"/>
  </w:num>
  <w:num w:numId="10">
    <w:abstractNumId w:val="51"/>
  </w:num>
  <w:num w:numId="11">
    <w:abstractNumId w:val="28"/>
  </w:num>
  <w:num w:numId="12">
    <w:abstractNumId w:val="21"/>
  </w:num>
  <w:num w:numId="13">
    <w:abstractNumId w:val="13"/>
  </w:num>
  <w:num w:numId="14">
    <w:abstractNumId w:val="35"/>
  </w:num>
  <w:num w:numId="15">
    <w:abstractNumId w:val="15"/>
  </w:num>
  <w:num w:numId="16">
    <w:abstractNumId w:val="11"/>
  </w:num>
  <w:num w:numId="17">
    <w:abstractNumId w:val="44"/>
  </w:num>
  <w:num w:numId="18">
    <w:abstractNumId w:val="40"/>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18"/>
  </w:num>
  <w:num w:numId="24">
    <w:abstractNumId w:val="14"/>
  </w:num>
  <w:num w:numId="25">
    <w:abstractNumId w:val="37"/>
  </w:num>
  <w:num w:numId="26">
    <w:abstractNumId w:val="9"/>
  </w:num>
  <w:num w:numId="27">
    <w:abstractNumId w:val="5"/>
  </w:num>
  <w:num w:numId="28">
    <w:abstractNumId w:val="27"/>
  </w:num>
  <w:num w:numId="29">
    <w:abstractNumId w:val="22"/>
  </w:num>
  <w:num w:numId="30">
    <w:abstractNumId w:val="47"/>
  </w:num>
  <w:num w:numId="31">
    <w:abstractNumId w:val="36"/>
  </w:num>
  <w:num w:numId="32">
    <w:abstractNumId w:val="4"/>
  </w:num>
  <w:num w:numId="33">
    <w:abstractNumId w:val="7"/>
  </w:num>
  <w:num w:numId="34">
    <w:abstractNumId w:val="38"/>
  </w:num>
  <w:num w:numId="35">
    <w:abstractNumId w:val="25"/>
  </w:num>
  <w:num w:numId="36">
    <w:abstractNumId w:val="41"/>
  </w:num>
  <w:num w:numId="37">
    <w:abstractNumId w:val="16"/>
  </w:num>
  <w:num w:numId="38">
    <w:abstractNumId w:val="46"/>
  </w:num>
  <w:num w:numId="39">
    <w:abstractNumId w:val="52"/>
  </w:num>
  <w:num w:numId="40">
    <w:abstractNumId w:val="34"/>
  </w:num>
  <w:num w:numId="41">
    <w:abstractNumId w:val="39"/>
  </w:num>
  <w:num w:numId="42">
    <w:abstractNumId w:val="23"/>
  </w:num>
  <w:num w:numId="43">
    <w:abstractNumId w:val="30"/>
  </w:num>
  <w:num w:numId="44">
    <w:abstractNumId w:val="48"/>
  </w:num>
  <w:num w:numId="45">
    <w:abstractNumId w:val="49"/>
  </w:num>
  <w:num w:numId="46">
    <w:abstractNumId w:val="20"/>
  </w:num>
  <w:num w:numId="47">
    <w:abstractNumId w:val="17"/>
  </w:num>
  <w:num w:numId="48">
    <w:abstractNumId w:val="6"/>
  </w:num>
  <w:num w:numId="49">
    <w:abstractNumId w:val="50"/>
  </w:num>
  <w:num w:numId="5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B15E42"/>
    <w:rsid w:val="000002A5"/>
    <w:rsid w:val="00000C5E"/>
    <w:rsid w:val="00000F57"/>
    <w:rsid w:val="000014D0"/>
    <w:rsid w:val="00001615"/>
    <w:rsid w:val="00001C73"/>
    <w:rsid w:val="000021B9"/>
    <w:rsid w:val="000030D7"/>
    <w:rsid w:val="00003A79"/>
    <w:rsid w:val="00003B19"/>
    <w:rsid w:val="000051CB"/>
    <w:rsid w:val="00005946"/>
    <w:rsid w:val="00005DAA"/>
    <w:rsid w:val="000061D4"/>
    <w:rsid w:val="00006821"/>
    <w:rsid w:val="00006982"/>
    <w:rsid w:val="000071C1"/>
    <w:rsid w:val="00007CAC"/>
    <w:rsid w:val="00007D8D"/>
    <w:rsid w:val="00007EA3"/>
    <w:rsid w:val="000115F6"/>
    <w:rsid w:val="00011652"/>
    <w:rsid w:val="00011794"/>
    <w:rsid w:val="00011EC2"/>
    <w:rsid w:val="0001255F"/>
    <w:rsid w:val="00012A22"/>
    <w:rsid w:val="0001356A"/>
    <w:rsid w:val="00013A54"/>
    <w:rsid w:val="00013B5B"/>
    <w:rsid w:val="00013CAA"/>
    <w:rsid w:val="00013E9B"/>
    <w:rsid w:val="00014B09"/>
    <w:rsid w:val="00014BC0"/>
    <w:rsid w:val="00014C64"/>
    <w:rsid w:val="00014D32"/>
    <w:rsid w:val="00015F68"/>
    <w:rsid w:val="000160DC"/>
    <w:rsid w:val="0001626C"/>
    <w:rsid w:val="00017010"/>
    <w:rsid w:val="00017161"/>
    <w:rsid w:val="00017808"/>
    <w:rsid w:val="00020017"/>
    <w:rsid w:val="00020539"/>
    <w:rsid w:val="000209F4"/>
    <w:rsid w:val="000219D7"/>
    <w:rsid w:val="000219EE"/>
    <w:rsid w:val="0002208C"/>
    <w:rsid w:val="00022A4D"/>
    <w:rsid w:val="0002319F"/>
    <w:rsid w:val="0002342E"/>
    <w:rsid w:val="00023C53"/>
    <w:rsid w:val="00024012"/>
    <w:rsid w:val="000243A7"/>
    <w:rsid w:val="00024625"/>
    <w:rsid w:val="0002522E"/>
    <w:rsid w:val="000254C0"/>
    <w:rsid w:val="000258BE"/>
    <w:rsid w:val="00025946"/>
    <w:rsid w:val="00025A23"/>
    <w:rsid w:val="00025BBB"/>
    <w:rsid w:val="00025E1B"/>
    <w:rsid w:val="00026C38"/>
    <w:rsid w:val="000272D6"/>
    <w:rsid w:val="000274E6"/>
    <w:rsid w:val="00027574"/>
    <w:rsid w:val="000275EF"/>
    <w:rsid w:val="000300A4"/>
    <w:rsid w:val="00030353"/>
    <w:rsid w:val="00030550"/>
    <w:rsid w:val="00031322"/>
    <w:rsid w:val="00031674"/>
    <w:rsid w:val="0003178C"/>
    <w:rsid w:val="0003195E"/>
    <w:rsid w:val="0003233A"/>
    <w:rsid w:val="00032CF9"/>
    <w:rsid w:val="00032D25"/>
    <w:rsid w:val="00033472"/>
    <w:rsid w:val="00033B14"/>
    <w:rsid w:val="00033D39"/>
    <w:rsid w:val="000342FB"/>
    <w:rsid w:val="000345B9"/>
    <w:rsid w:val="00034B81"/>
    <w:rsid w:val="00034C59"/>
    <w:rsid w:val="00035872"/>
    <w:rsid w:val="00036183"/>
    <w:rsid w:val="000361BE"/>
    <w:rsid w:val="00036AD0"/>
    <w:rsid w:val="00037F0A"/>
    <w:rsid w:val="0004085B"/>
    <w:rsid w:val="00040CEB"/>
    <w:rsid w:val="00041291"/>
    <w:rsid w:val="0004188A"/>
    <w:rsid w:val="00041D94"/>
    <w:rsid w:val="00041F41"/>
    <w:rsid w:val="000447F3"/>
    <w:rsid w:val="0004499C"/>
    <w:rsid w:val="00044D83"/>
    <w:rsid w:val="00045222"/>
    <w:rsid w:val="000457C3"/>
    <w:rsid w:val="00045C9A"/>
    <w:rsid w:val="000460BF"/>
    <w:rsid w:val="000464CD"/>
    <w:rsid w:val="0004684B"/>
    <w:rsid w:val="00046D94"/>
    <w:rsid w:val="00046F50"/>
    <w:rsid w:val="0004700A"/>
    <w:rsid w:val="00050146"/>
    <w:rsid w:val="00051361"/>
    <w:rsid w:val="0005158F"/>
    <w:rsid w:val="00051E02"/>
    <w:rsid w:val="00051F16"/>
    <w:rsid w:val="00052213"/>
    <w:rsid w:val="000522EA"/>
    <w:rsid w:val="000527BF"/>
    <w:rsid w:val="00053143"/>
    <w:rsid w:val="000534C1"/>
    <w:rsid w:val="00053CE9"/>
    <w:rsid w:val="00053E8C"/>
    <w:rsid w:val="000541C5"/>
    <w:rsid w:val="000542D3"/>
    <w:rsid w:val="00054528"/>
    <w:rsid w:val="000555D2"/>
    <w:rsid w:val="0005606F"/>
    <w:rsid w:val="00056363"/>
    <w:rsid w:val="00057741"/>
    <w:rsid w:val="00060AE0"/>
    <w:rsid w:val="00061B11"/>
    <w:rsid w:val="0006253B"/>
    <w:rsid w:val="00062570"/>
    <w:rsid w:val="000628BC"/>
    <w:rsid w:val="00063606"/>
    <w:rsid w:val="00063769"/>
    <w:rsid w:val="00063E11"/>
    <w:rsid w:val="000641DA"/>
    <w:rsid w:val="000642BC"/>
    <w:rsid w:val="00065AAA"/>
    <w:rsid w:val="00065C9D"/>
    <w:rsid w:val="00066163"/>
    <w:rsid w:val="000667E6"/>
    <w:rsid w:val="00066922"/>
    <w:rsid w:val="00066BE7"/>
    <w:rsid w:val="000676F8"/>
    <w:rsid w:val="000679A6"/>
    <w:rsid w:val="00067C30"/>
    <w:rsid w:val="000704AF"/>
    <w:rsid w:val="00071447"/>
    <w:rsid w:val="00071A88"/>
    <w:rsid w:val="00071E3C"/>
    <w:rsid w:val="00071F24"/>
    <w:rsid w:val="0007237C"/>
    <w:rsid w:val="000725FB"/>
    <w:rsid w:val="000727E6"/>
    <w:rsid w:val="0007284D"/>
    <w:rsid w:val="00072884"/>
    <w:rsid w:val="00072CAF"/>
    <w:rsid w:val="00072CD8"/>
    <w:rsid w:val="00072D41"/>
    <w:rsid w:val="00072F7C"/>
    <w:rsid w:val="000730A1"/>
    <w:rsid w:val="000731F6"/>
    <w:rsid w:val="0007381B"/>
    <w:rsid w:val="0007389A"/>
    <w:rsid w:val="00074058"/>
    <w:rsid w:val="000746D7"/>
    <w:rsid w:val="000748B2"/>
    <w:rsid w:val="00074AE3"/>
    <w:rsid w:val="00074D29"/>
    <w:rsid w:val="00074E44"/>
    <w:rsid w:val="00075634"/>
    <w:rsid w:val="000759E4"/>
    <w:rsid w:val="00075DF9"/>
    <w:rsid w:val="00075F3F"/>
    <w:rsid w:val="00076711"/>
    <w:rsid w:val="00076BE5"/>
    <w:rsid w:val="00076FAD"/>
    <w:rsid w:val="00077328"/>
    <w:rsid w:val="00077A34"/>
    <w:rsid w:val="00080357"/>
    <w:rsid w:val="0008095B"/>
    <w:rsid w:val="00081716"/>
    <w:rsid w:val="000819D6"/>
    <w:rsid w:val="000820D6"/>
    <w:rsid w:val="000820F2"/>
    <w:rsid w:val="00082A26"/>
    <w:rsid w:val="00083800"/>
    <w:rsid w:val="00083A5F"/>
    <w:rsid w:val="00083B3C"/>
    <w:rsid w:val="000847B3"/>
    <w:rsid w:val="000848DE"/>
    <w:rsid w:val="00084E7B"/>
    <w:rsid w:val="00084EEB"/>
    <w:rsid w:val="000854D4"/>
    <w:rsid w:val="000856BD"/>
    <w:rsid w:val="00085A5B"/>
    <w:rsid w:val="00086B0F"/>
    <w:rsid w:val="00086BC7"/>
    <w:rsid w:val="00086D84"/>
    <w:rsid w:val="00086F4A"/>
    <w:rsid w:val="000870AE"/>
    <w:rsid w:val="00090037"/>
    <w:rsid w:val="0009030E"/>
    <w:rsid w:val="00090B81"/>
    <w:rsid w:val="00090C64"/>
    <w:rsid w:val="0009139F"/>
    <w:rsid w:val="000913AE"/>
    <w:rsid w:val="00091627"/>
    <w:rsid w:val="000918A9"/>
    <w:rsid w:val="00091C3A"/>
    <w:rsid w:val="00091C84"/>
    <w:rsid w:val="00091E6F"/>
    <w:rsid w:val="00091EEE"/>
    <w:rsid w:val="0009214D"/>
    <w:rsid w:val="0009264C"/>
    <w:rsid w:val="000926F6"/>
    <w:rsid w:val="00092863"/>
    <w:rsid w:val="00092953"/>
    <w:rsid w:val="000930A3"/>
    <w:rsid w:val="00093C0A"/>
    <w:rsid w:val="00093D59"/>
    <w:rsid w:val="000947EC"/>
    <w:rsid w:val="00094802"/>
    <w:rsid w:val="00095C32"/>
    <w:rsid w:val="000961B0"/>
    <w:rsid w:val="000966E3"/>
    <w:rsid w:val="00096730"/>
    <w:rsid w:val="00096A8E"/>
    <w:rsid w:val="00096F91"/>
    <w:rsid w:val="00097695"/>
    <w:rsid w:val="000976A8"/>
    <w:rsid w:val="00097A0D"/>
    <w:rsid w:val="00097A6C"/>
    <w:rsid w:val="00097E03"/>
    <w:rsid w:val="000A09B2"/>
    <w:rsid w:val="000A0D64"/>
    <w:rsid w:val="000A10EF"/>
    <w:rsid w:val="000A1449"/>
    <w:rsid w:val="000A1E61"/>
    <w:rsid w:val="000A233D"/>
    <w:rsid w:val="000A2CE3"/>
    <w:rsid w:val="000A2F58"/>
    <w:rsid w:val="000A2F78"/>
    <w:rsid w:val="000A3B54"/>
    <w:rsid w:val="000A3BFF"/>
    <w:rsid w:val="000A3F1C"/>
    <w:rsid w:val="000A4657"/>
    <w:rsid w:val="000A5072"/>
    <w:rsid w:val="000A5356"/>
    <w:rsid w:val="000A5F62"/>
    <w:rsid w:val="000A6C65"/>
    <w:rsid w:val="000A7073"/>
    <w:rsid w:val="000A709B"/>
    <w:rsid w:val="000A710E"/>
    <w:rsid w:val="000A7163"/>
    <w:rsid w:val="000A744E"/>
    <w:rsid w:val="000A74FC"/>
    <w:rsid w:val="000B077C"/>
    <w:rsid w:val="000B0EEF"/>
    <w:rsid w:val="000B105A"/>
    <w:rsid w:val="000B1315"/>
    <w:rsid w:val="000B14CD"/>
    <w:rsid w:val="000B14D3"/>
    <w:rsid w:val="000B1780"/>
    <w:rsid w:val="000B2FE6"/>
    <w:rsid w:val="000B303D"/>
    <w:rsid w:val="000B3120"/>
    <w:rsid w:val="000B331A"/>
    <w:rsid w:val="000B3C95"/>
    <w:rsid w:val="000B402C"/>
    <w:rsid w:val="000B42B1"/>
    <w:rsid w:val="000B4BB1"/>
    <w:rsid w:val="000B57CB"/>
    <w:rsid w:val="000B58FB"/>
    <w:rsid w:val="000B6226"/>
    <w:rsid w:val="000B6BCA"/>
    <w:rsid w:val="000B7497"/>
    <w:rsid w:val="000B75AC"/>
    <w:rsid w:val="000B75ED"/>
    <w:rsid w:val="000B7C0E"/>
    <w:rsid w:val="000C0440"/>
    <w:rsid w:val="000C13EF"/>
    <w:rsid w:val="000C16EC"/>
    <w:rsid w:val="000C190C"/>
    <w:rsid w:val="000C1FA3"/>
    <w:rsid w:val="000C240A"/>
    <w:rsid w:val="000C243D"/>
    <w:rsid w:val="000C2893"/>
    <w:rsid w:val="000C2B1E"/>
    <w:rsid w:val="000C2D15"/>
    <w:rsid w:val="000C3123"/>
    <w:rsid w:val="000C3235"/>
    <w:rsid w:val="000C42DB"/>
    <w:rsid w:val="000C456A"/>
    <w:rsid w:val="000C4A44"/>
    <w:rsid w:val="000C4ED5"/>
    <w:rsid w:val="000C528B"/>
    <w:rsid w:val="000C65AF"/>
    <w:rsid w:val="000C65FB"/>
    <w:rsid w:val="000C673D"/>
    <w:rsid w:val="000C702C"/>
    <w:rsid w:val="000C7043"/>
    <w:rsid w:val="000C7E81"/>
    <w:rsid w:val="000D0CA9"/>
    <w:rsid w:val="000D12F6"/>
    <w:rsid w:val="000D15E3"/>
    <w:rsid w:val="000D16F4"/>
    <w:rsid w:val="000D1769"/>
    <w:rsid w:val="000D18B3"/>
    <w:rsid w:val="000D1BAA"/>
    <w:rsid w:val="000D20FE"/>
    <w:rsid w:val="000D2D75"/>
    <w:rsid w:val="000D35AC"/>
    <w:rsid w:val="000D3A73"/>
    <w:rsid w:val="000D3EF3"/>
    <w:rsid w:val="000D4798"/>
    <w:rsid w:val="000D50A6"/>
    <w:rsid w:val="000D542A"/>
    <w:rsid w:val="000D5626"/>
    <w:rsid w:val="000D632E"/>
    <w:rsid w:val="000D6773"/>
    <w:rsid w:val="000D6D91"/>
    <w:rsid w:val="000D72D2"/>
    <w:rsid w:val="000D7611"/>
    <w:rsid w:val="000D7649"/>
    <w:rsid w:val="000E0065"/>
    <w:rsid w:val="000E0287"/>
    <w:rsid w:val="000E1426"/>
    <w:rsid w:val="000E1C81"/>
    <w:rsid w:val="000E1D68"/>
    <w:rsid w:val="000E1E07"/>
    <w:rsid w:val="000E2243"/>
    <w:rsid w:val="000E2439"/>
    <w:rsid w:val="000E29A1"/>
    <w:rsid w:val="000E3E7B"/>
    <w:rsid w:val="000E4932"/>
    <w:rsid w:val="000E5632"/>
    <w:rsid w:val="000E67D3"/>
    <w:rsid w:val="000E71C8"/>
    <w:rsid w:val="000E7236"/>
    <w:rsid w:val="000E77AD"/>
    <w:rsid w:val="000F0128"/>
    <w:rsid w:val="000F01CD"/>
    <w:rsid w:val="000F0378"/>
    <w:rsid w:val="000F071E"/>
    <w:rsid w:val="000F0DF5"/>
    <w:rsid w:val="000F11CA"/>
    <w:rsid w:val="000F16E8"/>
    <w:rsid w:val="000F1B46"/>
    <w:rsid w:val="000F2009"/>
    <w:rsid w:val="000F24FB"/>
    <w:rsid w:val="000F29E5"/>
    <w:rsid w:val="000F2B5B"/>
    <w:rsid w:val="000F37B1"/>
    <w:rsid w:val="000F391C"/>
    <w:rsid w:val="000F397B"/>
    <w:rsid w:val="000F4D03"/>
    <w:rsid w:val="000F4EAE"/>
    <w:rsid w:val="000F5A8D"/>
    <w:rsid w:val="000F5F52"/>
    <w:rsid w:val="000F681E"/>
    <w:rsid w:val="000F69B1"/>
    <w:rsid w:val="000F6C70"/>
    <w:rsid w:val="000F71E5"/>
    <w:rsid w:val="000F7AB3"/>
    <w:rsid w:val="000F7B6E"/>
    <w:rsid w:val="00100181"/>
    <w:rsid w:val="00100770"/>
    <w:rsid w:val="00100BE4"/>
    <w:rsid w:val="00101326"/>
    <w:rsid w:val="00101435"/>
    <w:rsid w:val="00101457"/>
    <w:rsid w:val="001018AE"/>
    <w:rsid w:val="00102043"/>
    <w:rsid w:val="00102223"/>
    <w:rsid w:val="00102FED"/>
    <w:rsid w:val="00103172"/>
    <w:rsid w:val="00103959"/>
    <w:rsid w:val="00103D26"/>
    <w:rsid w:val="00103F9A"/>
    <w:rsid w:val="0010434C"/>
    <w:rsid w:val="001043DB"/>
    <w:rsid w:val="00104737"/>
    <w:rsid w:val="00104809"/>
    <w:rsid w:val="00104BA7"/>
    <w:rsid w:val="00104C51"/>
    <w:rsid w:val="0010554B"/>
    <w:rsid w:val="001057B1"/>
    <w:rsid w:val="00105CA5"/>
    <w:rsid w:val="00105D46"/>
    <w:rsid w:val="001061C6"/>
    <w:rsid w:val="001066D5"/>
    <w:rsid w:val="001068DD"/>
    <w:rsid w:val="00106CBA"/>
    <w:rsid w:val="00106F00"/>
    <w:rsid w:val="0010781E"/>
    <w:rsid w:val="00107A7F"/>
    <w:rsid w:val="00107ECE"/>
    <w:rsid w:val="00110064"/>
    <w:rsid w:val="001108CC"/>
    <w:rsid w:val="00110A8D"/>
    <w:rsid w:val="00110AE3"/>
    <w:rsid w:val="00110BA2"/>
    <w:rsid w:val="00110C69"/>
    <w:rsid w:val="00111195"/>
    <w:rsid w:val="00111413"/>
    <w:rsid w:val="001114B9"/>
    <w:rsid w:val="001115A1"/>
    <w:rsid w:val="00111701"/>
    <w:rsid w:val="00111A18"/>
    <w:rsid w:val="00112733"/>
    <w:rsid w:val="00112885"/>
    <w:rsid w:val="00112D76"/>
    <w:rsid w:val="0011309B"/>
    <w:rsid w:val="001132B2"/>
    <w:rsid w:val="00113539"/>
    <w:rsid w:val="00113A8E"/>
    <w:rsid w:val="001142AE"/>
    <w:rsid w:val="001143F9"/>
    <w:rsid w:val="001151F4"/>
    <w:rsid w:val="00115BEF"/>
    <w:rsid w:val="00115EC6"/>
    <w:rsid w:val="00115EC9"/>
    <w:rsid w:val="001165CD"/>
    <w:rsid w:val="00117C2A"/>
    <w:rsid w:val="00120709"/>
    <w:rsid w:val="0012093B"/>
    <w:rsid w:val="00120C82"/>
    <w:rsid w:val="001213DC"/>
    <w:rsid w:val="001216B8"/>
    <w:rsid w:val="0012198C"/>
    <w:rsid w:val="00121A71"/>
    <w:rsid w:val="001222F1"/>
    <w:rsid w:val="00122B2F"/>
    <w:rsid w:val="00122BA3"/>
    <w:rsid w:val="00122E36"/>
    <w:rsid w:val="00122F5E"/>
    <w:rsid w:val="001233CF"/>
    <w:rsid w:val="0012359F"/>
    <w:rsid w:val="001239AF"/>
    <w:rsid w:val="00123A4E"/>
    <w:rsid w:val="00123CB6"/>
    <w:rsid w:val="00123EB9"/>
    <w:rsid w:val="00123FBE"/>
    <w:rsid w:val="001255C2"/>
    <w:rsid w:val="00125FFE"/>
    <w:rsid w:val="0012623D"/>
    <w:rsid w:val="00126F2D"/>
    <w:rsid w:val="0012751F"/>
    <w:rsid w:val="00127CAC"/>
    <w:rsid w:val="001311C7"/>
    <w:rsid w:val="00131B13"/>
    <w:rsid w:val="001323B4"/>
    <w:rsid w:val="00132610"/>
    <w:rsid w:val="00132B03"/>
    <w:rsid w:val="00133843"/>
    <w:rsid w:val="001339EE"/>
    <w:rsid w:val="0013445E"/>
    <w:rsid w:val="00134608"/>
    <w:rsid w:val="00135B58"/>
    <w:rsid w:val="00136EE6"/>
    <w:rsid w:val="001372AD"/>
    <w:rsid w:val="00137393"/>
    <w:rsid w:val="001378B3"/>
    <w:rsid w:val="00137907"/>
    <w:rsid w:val="00137C80"/>
    <w:rsid w:val="00137CD5"/>
    <w:rsid w:val="0014074E"/>
    <w:rsid w:val="00140A48"/>
    <w:rsid w:val="001411EB"/>
    <w:rsid w:val="001416E8"/>
    <w:rsid w:val="0014174D"/>
    <w:rsid w:val="00141AF1"/>
    <w:rsid w:val="00141C82"/>
    <w:rsid w:val="001420C2"/>
    <w:rsid w:val="001431A6"/>
    <w:rsid w:val="00144190"/>
    <w:rsid w:val="00144987"/>
    <w:rsid w:val="00144ADB"/>
    <w:rsid w:val="00144B89"/>
    <w:rsid w:val="0014577C"/>
    <w:rsid w:val="001462E3"/>
    <w:rsid w:val="0014762D"/>
    <w:rsid w:val="00147BC3"/>
    <w:rsid w:val="00147E6D"/>
    <w:rsid w:val="001505D0"/>
    <w:rsid w:val="00151195"/>
    <w:rsid w:val="00151247"/>
    <w:rsid w:val="0015187C"/>
    <w:rsid w:val="00152EB4"/>
    <w:rsid w:val="0015300E"/>
    <w:rsid w:val="00153209"/>
    <w:rsid w:val="00153288"/>
    <w:rsid w:val="00153290"/>
    <w:rsid w:val="0015333B"/>
    <w:rsid w:val="00153721"/>
    <w:rsid w:val="00153F56"/>
    <w:rsid w:val="00153F90"/>
    <w:rsid w:val="0015427C"/>
    <w:rsid w:val="00154491"/>
    <w:rsid w:val="001547A4"/>
    <w:rsid w:val="00154B5F"/>
    <w:rsid w:val="00154BA5"/>
    <w:rsid w:val="00154C21"/>
    <w:rsid w:val="00154D34"/>
    <w:rsid w:val="0015501E"/>
    <w:rsid w:val="0015518C"/>
    <w:rsid w:val="00155246"/>
    <w:rsid w:val="001554E4"/>
    <w:rsid w:val="0015671D"/>
    <w:rsid w:val="001568C0"/>
    <w:rsid w:val="00156A52"/>
    <w:rsid w:val="00156B9A"/>
    <w:rsid w:val="00156EA0"/>
    <w:rsid w:val="0015701C"/>
    <w:rsid w:val="00157028"/>
    <w:rsid w:val="001572F2"/>
    <w:rsid w:val="0015739F"/>
    <w:rsid w:val="00157B73"/>
    <w:rsid w:val="00157DD5"/>
    <w:rsid w:val="0016068E"/>
    <w:rsid w:val="00160932"/>
    <w:rsid w:val="00160A86"/>
    <w:rsid w:val="00160B1A"/>
    <w:rsid w:val="00160E2A"/>
    <w:rsid w:val="0016125A"/>
    <w:rsid w:val="00161B8E"/>
    <w:rsid w:val="0016207B"/>
    <w:rsid w:val="001621C2"/>
    <w:rsid w:val="00162F1A"/>
    <w:rsid w:val="00163141"/>
    <w:rsid w:val="001642C5"/>
    <w:rsid w:val="001649C4"/>
    <w:rsid w:val="00165C27"/>
    <w:rsid w:val="00165DA1"/>
    <w:rsid w:val="00165EAA"/>
    <w:rsid w:val="001666E7"/>
    <w:rsid w:val="00166798"/>
    <w:rsid w:val="001670CC"/>
    <w:rsid w:val="0016749B"/>
    <w:rsid w:val="00167985"/>
    <w:rsid w:val="001679C0"/>
    <w:rsid w:val="00167E56"/>
    <w:rsid w:val="00167FF6"/>
    <w:rsid w:val="00170054"/>
    <w:rsid w:val="001700A3"/>
    <w:rsid w:val="0017122B"/>
    <w:rsid w:val="0017188B"/>
    <w:rsid w:val="00171C07"/>
    <w:rsid w:val="00172A4C"/>
    <w:rsid w:val="0017361D"/>
    <w:rsid w:val="001738C1"/>
    <w:rsid w:val="001738DD"/>
    <w:rsid w:val="001740DF"/>
    <w:rsid w:val="00175296"/>
    <w:rsid w:val="001752DD"/>
    <w:rsid w:val="001754B8"/>
    <w:rsid w:val="001756F7"/>
    <w:rsid w:val="001761E4"/>
    <w:rsid w:val="00176506"/>
    <w:rsid w:val="0017749C"/>
    <w:rsid w:val="001775EF"/>
    <w:rsid w:val="00180C59"/>
    <w:rsid w:val="00181317"/>
    <w:rsid w:val="001816A0"/>
    <w:rsid w:val="001816DA"/>
    <w:rsid w:val="00181A07"/>
    <w:rsid w:val="0018232A"/>
    <w:rsid w:val="0018251F"/>
    <w:rsid w:val="00182A4E"/>
    <w:rsid w:val="00182AD6"/>
    <w:rsid w:val="00182E9C"/>
    <w:rsid w:val="001831F4"/>
    <w:rsid w:val="00183656"/>
    <w:rsid w:val="001837DA"/>
    <w:rsid w:val="00183F62"/>
    <w:rsid w:val="00184326"/>
    <w:rsid w:val="00184591"/>
    <w:rsid w:val="00184804"/>
    <w:rsid w:val="0018491F"/>
    <w:rsid w:val="00184983"/>
    <w:rsid w:val="00184AAA"/>
    <w:rsid w:val="00184FC3"/>
    <w:rsid w:val="0018597C"/>
    <w:rsid w:val="00185DE1"/>
    <w:rsid w:val="0018689C"/>
    <w:rsid w:val="001868D5"/>
    <w:rsid w:val="00186B72"/>
    <w:rsid w:val="00186B8A"/>
    <w:rsid w:val="00186BA1"/>
    <w:rsid w:val="00187093"/>
    <w:rsid w:val="001871E0"/>
    <w:rsid w:val="001875D1"/>
    <w:rsid w:val="00187828"/>
    <w:rsid w:val="0018785A"/>
    <w:rsid w:val="0018792F"/>
    <w:rsid w:val="00187E4A"/>
    <w:rsid w:val="001900BA"/>
    <w:rsid w:val="00190452"/>
    <w:rsid w:val="00190A21"/>
    <w:rsid w:val="00190F73"/>
    <w:rsid w:val="001926E0"/>
    <w:rsid w:val="00192F29"/>
    <w:rsid w:val="001932D8"/>
    <w:rsid w:val="00193539"/>
    <w:rsid w:val="001935C6"/>
    <w:rsid w:val="00193AF3"/>
    <w:rsid w:val="00193AFF"/>
    <w:rsid w:val="00193CAD"/>
    <w:rsid w:val="00194B28"/>
    <w:rsid w:val="00194C01"/>
    <w:rsid w:val="00194E7A"/>
    <w:rsid w:val="00195022"/>
    <w:rsid w:val="00195E89"/>
    <w:rsid w:val="00196275"/>
    <w:rsid w:val="00196463"/>
    <w:rsid w:val="00196AE9"/>
    <w:rsid w:val="001970A7"/>
    <w:rsid w:val="001971D2"/>
    <w:rsid w:val="0019773B"/>
    <w:rsid w:val="0019798E"/>
    <w:rsid w:val="00197A42"/>
    <w:rsid w:val="001A07FC"/>
    <w:rsid w:val="001A0EC2"/>
    <w:rsid w:val="001A194A"/>
    <w:rsid w:val="001A219F"/>
    <w:rsid w:val="001A2DB4"/>
    <w:rsid w:val="001A42C5"/>
    <w:rsid w:val="001A5175"/>
    <w:rsid w:val="001A65A7"/>
    <w:rsid w:val="001A6E87"/>
    <w:rsid w:val="001A6ED6"/>
    <w:rsid w:val="001A70F9"/>
    <w:rsid w:val="001A71B6"/>
    <w:rsid w:val="001A73C5"/>
    <w:rsid w:val="001A7BE8"/>
    <w:rsid w:val="001B09AE"/>
    <w:rsid w:val="001B0CFC"/>
    <w:rsid w:val="001B0D7C"/>
    <w:rsid w:val="001B0FBB"/>
    <w:rsid w:val="001B13BF"/>
    <w:rsid w:val="001B14C6"/>
    <w:rsid w:val="001B1FDA"/>
    <w:rsid w:val="001B2B0E"/>
    <w:rsid w:val="001B2EA1"/>
    <w:rsid w:val="001B2F3F"/>
    <w:rsid w:val="001B34C0"/>
    <w:rsid w:val="001B3A8B"/>
    <w:rsid w:val="001B3D6E"/>
    <w:rsid w:val="001B428F"/>
    <w:rsid w:val="001B5072"/>
    <w:rsid w:val="001B5669"/>
    <w:rsid w:val="001B607E"/>
    <w:rsid w:val="001B66CA"/>
    <w:rsid w:val="001B67E7"/>
    <w:rsid w:val="001B68F1"/>
    <w:rsid w:val="001B6B37"/>
    <w:rsid w:val="001B6C57"/>
    <w:rsid w:val="001B6DB2"/>
    <w:rsid w:val="001B7301"/>
    <w:rsid w:val="001B7580"/>
    <w:rsid w:val="001B7766"/>
    <w:rsid w:val="001B7D2B"/>
    <w:rsid w:val="001B7F63"/>
    <w:rsid w:val="001C0189"/>
    <w:rsid w:val="001C0700"/>
    <w:rsid w:val="001C107C"/>
    <w:rsid w:val="001C1DE4"/>
    <w:rsid w:val="001C1F11"/>
    <w:rsid w:val="001C38D2"/>
    <w:rsid w:val="001C3A80"/>
    <w:rsid w:val="001C3B06"/>
    <w:rsid w:val="001C3B19"/>
    <w:rsid w:val="001C562E"/>
    <w:rsid w:val="001C58C3"/>
    <w:rsid w:val="001C5DD3"/>
    <w:rsid w:val="001C64EA"/>
    <w:rsid w:val="001C6873"/>
    <w:rsid w:val="001C6D24"/>
    <w:rsid w:val="001C6F07"/>
    <w:rsid w:val="001C7142"/>
    <w:rsid w:val="001C71AE"/>
    <w:rsid w:val="001C7A41"/>
    <w:rsid w:val="001C7D02"/>
    <w:rsid w:val="001C7DCE"/>
    <w:rsid w:val="001C7E2C"/>
    <w:rsid w:val="001C7F61"/>
    <w:rsid w:val="001D0373"/>
    <w:rsid w:val="001D06F0"/>
    <w:rsid w:val="001D0CED"/>
    <w:rsid w:val="001D1065"/>
    <w:rsid w:val="001D1B55"/>
    <w:rsid w:val="001D1D17"/>
    <w:rsid w:val="001D2335"/>
    <w:rsid w:val="001D2805"/>
    <w:rsid w:val="001D29F7"/>
    <w:rsid w:val="001D2D57"/>
    <w:rsid w:val="001D3430"/>
    <w:rsid w:val="001D3D1F"/>
    <w:rsid w:val="001D56FD"/>
    <w:rsid w:val="001D5918"/>
    <w:rsid w:val="001D6C19"/>
    <w:rsid w:val="001D6C32"/>
    <w:rsid w:val="001D759C"/>
    <w:rsid w:val="001D764D"/>
    <w:rsid w:val="001D7CC3"/>
    <w:rsid w:val="001E0A15"/>
    <w:rsid w:val="001E0EDB"/>
    <w:rsid w:val="001E1661"/>
    <w:rsid w:val="001E1BB4"/>
    <w:rsid w:val="001E2E9A"/>
    <w:rsid w:val="001E2FAE"/>
    <w:rsid w:val="001E3E77"/>
    <w:rsid w:val="001E4711"/>
    <w:rsid w:val="001E47A5"/>
    <w:rsid w:val="001E490E"/>
    <w:rsid w:val="001E5744"/>
    <w:rsid w:val="001E5DAA"/>
    <w:rsid w:val="001E5FAD"/>
    <w:rsid w:val="001E60A7"/>
    <w:rsid w:val="001E668B"/>
    <w:rsid w:val="001E69A3"/>
    <w:rsid w:val="001E6A79"/>
    <w:rsid w:val="001E6D71"/>
    <w:rsid w:val="001E7047"/>
    <w:rsid w:val="001E708A"/>
    <w:rsid w:val="001E7AFB"/>
    <w:rsid w:val="001E7B1B"/>
    <w:rsid w:val="001E7CA5"/>
    <w:rsid w:val="001F05CE"/>
    <w:rsid w:val="001F1064"/>
    <w:rsid w:val="001F1221"/>
    <w:rsid w:val="001F17E3"/>
    <w:rsid w:val="001F1954"/>
    <w:rsid w:val="001F1B94"/>
    <w:rsid w:val="001F2675"/>
    <w:rsid w:val="001F364B"/>
    <w:rsid w:val="001F37DB"/>
    <w:rsid w:val="001F4A30"/>
    <w:rsid w:val="001F4F27"/>
    <w:rsid w:val="001F50DB"/>
    <w:rsid w:val="001F541B"/>
    <w:rsid w:val="001F58C4"/>
    <w:rsid w:val="001F63E6"/>
    <w:rsid w:val="001F67FC"/>
    <w:rsid w:val="001F755C"/>
    <w:rsid w:val="001F78F4"/>
    <w:rsid w:val="001F7BBE"/>
    <w:rsid w:val="001F7D92"/>
    <w:rsid w:val="00200055"/>
    <w:rsid w:val="00200295"/>
    <w:rsid w:val="0020030B"/>
    <w:rsid w:val="00200AE9"/>
    <w:rsid w:val="00200DE4"/>
    <w:rsid w:val="002010A0"/>
    <w:rsid w:val="002018B5"/>
    <w:rsid w:val="00201D3C"/>
    <w:rsid w:val="00201D89"/>
    <w:rsid w:val="0020235C"/>
    <w:rsid w:val="00204010"/>
    <w:rsid w:val="002049CD"/>
    <w:rsid w:val="0020507D"/>
    <w:rsid w:val="00205FAE"/>
    <w:rsid w:val="00206821"/>
    <w:rsid w:val="002068E0"/>
    <w:rsid w:val="00206926"/>
    <w:rsid w:val="00206ED5"/>
    <w:rsid w:val="00206FC1"/>
    <w:rsid w:val="0020748F"/>
    <w:rsid w:val="002076C1"/>
    <w:rsid w:val="00207895"/>
    <w:rsid w:val="00207963"/>
    <w:rsid w:val="00207A09"/>
    <w:rsid w:val="00207CAC"/>
    <w:rsid w:val="00207F8F"/>
    <w:rsid w:val="002111BA"/>
    <w:rsid w:val="00211EBE"/>
    <w:rsid w:val="002128E7"/>
    <w:rsid w:val="0021307A"/>
    <w:rsid w:val="0021377E"/>
    <w:rsid w:val="00214B51"/>
    <w:rsid w:val="00214D18"/>
    <w:rsid w:val="00214E53"/>
    <w:rsid w:val="0021572A"/>
    <w:rsid w:val="00215DD3"/>
    <w:rsid w:val="00215F86"/>
    <w:rsid w:val="00216093"/>
    <w:rsid w:val="00216498"/>
    <w:rsid w:val="002168F5"/>
    <w:rsid w:val="00216DDC"/>
    <w:rsid w:val="0021714F"/>
    <w:rsid w:val="00217798"/>
    <w:rsid w:val="00220D90"/>
    <w:rsid w:val="00221859"/>
    <w:rsid w:val="002218BA"/>
    <w:rsid w:val="00223436"/>
    <w:rsid w:val="002238DC"/>
    <w:rsid w:val="00223E0E"/>
    <w:rsid w:val="00223E75"/>
    <w:rsid w:val="002242F0"/>
    <w:rsid w:val="002247E2"/>
    <w:rsid w:val="00224AD5"/>
    <w:rsid w:val="00224FBB"/>
    <w:rsid w:val="00225400"/>
    <w:rsid w:val="00226408"/>
    <w:rsid w:val="0022741B"/>
    <w:rsid w:val="002279A7"/>
    <w:rsid w:val="00227DE3"/>
    <w:rsid w:val="00230389"/>
    <w:rsid w:val="00230B3E"/>
    <w:rsid w:val="00230C97"/>
    <w:rsid w:val="00231432"/>
    <w:rsid w:val="00231D4E"/>
    <w:rsid w:val="00231F1E"/>
    <w:rsid w:val="002324E9"/>
    <w:rsid w:val="002332B3"/>
    <w:rsid w:val="00235936"/>
    <w:rsid w:val="0023616D"/>
    <w:rsid w:val="00236444"/>
    <w:rsid w:val="00236DE1"/>
    <w:rsid w:val="00236EE4"/>
    <w:rsid w:val="00236FD6"/>
    <w:rsid w:val="002377E1"/>
    <w:rsid w:val="00237848"/>
    <w:rsid w:val="002378A6"/>
    <w:rsid w:val="00237A70"/>
    <w:rsid w:val="00237AB7"/>
    <w:rsid w:val="00237CC7"/>
    <w:rsid w:val="0024016D"/>
    <w:rsid w:val="002403AA"/>
    <w:rsid w:val="00240548"/>
    <w:rsid w:val="00240604"/>
    <w:rsid w:val="00240814"/>
    <w:rsid w:val="00240882"/>
    <w:rsid w:val="00240E8A"/>
    <w:rsid w:val="002411CE"/>
    <w:rsid w:val="0024132B"/>
    <w:rsid w:val="00241C3B"/>
    <w:rsid w:val="002431C7"/>
    <w:rsid w:val="002431DC"/>
    <w:rsid w:val="00243542"/>
    <w:rsid w:val="00243E0D"/>
    <w:rsid w:val="00243E23"/>
    <w:rsid w:val="002448C0"/>
    <w:rsid w:val="0024509C"/>
    <w:rsid w:val="002450F8"/>
    <w:rsid w:val="00245211"/>
    <w:rsid w:val="00245322"/>
    <w:rsid w:val="00245D92"/>
    <w:rsid w:val="00246A3A"/>
    <w:rsid w:val="002477CE"/>
    <w:rsid w:val="00247ABF"/>
    <w:rsid w:val="00247D40"/>
    <w:rsid w:val="002500F5"/>
    <w:rsid w:val="00250293"/>
    <w:rsid w:val="00250471"/>
    <w:rsid w:val="00250D96"/>
    <w:rsid w:val="0025117D"/>
    <w:rsid w:val="002511F4"/>
    <w:rsid w:val="00251662"/>
    <w:rsid w:val="0025211B"/>
    <w:rsid w:val="002529A0"/>
    <w:rsid w:val="00252B3B"/>
    <w:rsid w:val="0025377F"/>
    <w:rsid w:val="002542FA"/>
    <w:rsid w:val="00254353"/>
    <w:rsid w:val="00254616"/>
    <w:rsid w:val="00254CA5"/>
    <w:rsid w:val="00255E58"/>
    <w:rsid w:val="002568F5"/>
    <w:rsid w:val="00256D0D"/>
    <w:rsid w:val="00256FCB"/>
    <w:rsid w:val="00257738"/>
    <w:rsid w:val="00257A39"/>
    <w:rsid w:val="00257A47"/>
    <w:rsid w:val="002601EB"/>
    <w:rsid w:val="002603BD"/>
    <w:rsid w:val="0026065E"/>
    <w:rsid w:val="00260B4B"/>
    <w:rsid w:val="00261888"/>
    <w:rsid w:val="00261FE0"/>
    <w:rsid w:val="0026235D"/>
    <w:rsid w:val="0026297D"/>
    <w:rsid w:val="00262F73"/>
    <w:rsid w:val="0026327D"/>
    <w:rsid w:val="002636B6"/>
    <w:rsid w:val="002636BA"/>
    <w:rsid w:val="00263B94"/>
    <w:rsid w:val="00263D51"/>
    <w:rsid w:val="00263F04"/>
    <w:rsid w:val="00263F70"/>
    <w:rsid w:val="0026407E"/>
    <w:rsid w:val="0026434A"/>
    <w:rsid w:val="002648FC"/>
    <w:rsid w:val="00264D76"/>
    <w:rsid w:val="00264F6C"/>
    <w:rsid w:val="00265003"/>
    <w:rsid w:val="002658A6"/>
    <w:rsid w:val="00265BA2"/>
    <w:rsid w:val="002665CF"/>
    <w:rsid w:val="002667D7"/>
    <w:rsid w:val="00266DBA"/>
    <w:rsid w:val="00266ED8"/>
    <w:rsid w:val="00267069"/>
    <w:rsid w:val="0026713F"/>
    <w:rsid w:val="002678E1"/>
    <w:rsid w:val="00267E20"/>
    <w:rsid w:val="00267E92"/>
    <w:rsid w:val="00267FF1"/>
    <w:rsid w:val="002705C0"/>
    <w:rsid w:val="002708AA"/>
    <w:rsid w:val="0027130F"/>
    <w:rsid w:val="002718A4"/>
    <w:rsid w:val="002728F6"/>
    <w:rsid w:val="002728FC"/>
    <w:rsid w:val="00272E8F"/>
    <w:rsid w:val="0027363C"/>
    <w:rsid w:val="00273EA0"/>
    <w:rsid w:val="0027412B"/>
    <w:rsid w:val="002753E7"/>
    <w:rsid w:val="0027579D"/>
    <w:rsid w:val="00275AB8"/>
    <w:rsid w:val="0027665B"/>
    <w:rsid w:val="00277002"/>
    <w:rsid w:val="00277141"/>
    <w:rsid w:val="002773DC"/>
    <w:rsid w:val="00277AC4"/>
    <w:rsid w:val="00277BF4"/>
    <w:rsid w:val="00280398"/>
    <w:rsid w:val="00280BC6"/>
    <w:rsid w:val="00280DDE"/>
    <w:rsid w:val="00280E46"/>
    <w:rsid w:val="0028141D"/>
    <w:rsid w:val="00281A78"/>
    <w:rsid w:val="00282EC1"/>
    <w:rsid w:val="00282F88"/>
    <w:rsid w:val="002832A0"/>
    <w:rsid w:val="00283909"/>
    <w:rsid w:val="00283E47"/>
    <w:rsid w:val="00283EAF"/>
    <w:rsid w:val="00283FB3"/>
    <w:rsid w:val="00284761"/>
    <w:rsid w:val="00285129"/>
    <w:rsid w:val="002855CC"/>
    <w:rsid w:val="00285963"/>
    <w:rsid w:val="002859AC"/>
    <w:rsid w:val="00285EE2"/>
    <w:rsid w:val="002909DC"/>
    <w:rsid w:val="0029154C"/>
    <w:rsid w:val="00291795"/>
    <w:rsid w:val="00293C3D"/>
    <w:rsid w:val="002945C6"/>
    <w:rsid w:val="00294C26"/>
    <w:rsid w:val="00294CB6"/>
    <w:rsid w:val="002951B8"/>
    <w:rsid w:val="002951FB"/>
    <w:rsid w:val="002955C5"/>
    <w:rsid w:val="00295B92"/>
    <w:rsid w:val="00296023"/>
    <w:rsid w:val="002960FB"/>
    <w:rsid w:val="00297036"/>
    <w:rsid w:val="00297503"/>
    <w:rsid w:val="00297B56"/>
    <w:rsid w:val="002A0352"/>
    <w:rsid w:val="002A16DF"/>
    <w:rsid w:val="002A18A9"/>
    <w:rsid w:val="002A1918"/>
    <w:rsid w:val="002A24FF"/>
    <w:rsid w:val="002A29DB"/>
    <w:rsid w:val="002A2E4B"/>
    <w:rsid w:val="002A2E51"/>
    <w:rsid w:val="002A347A"/>
    <w:rsid w:val="002A3869"/>
    <w:rsid w:val="002A3B6C"/>
    <w:rsid w:val="002A3BF1"/>
    <w:rsid w:val="002A4022"/>
    <w:rsid w:val="002A4121"/>
    <w:rsid w:val="002A43FA"/>
    <w:rsid w:val="002A4641"/>
    <w:rsid w:val="002A4D26"/>
    <w:rsid w:val="002A583D"/>
    <w:rsid w:val="002A5A4C"/>
    <w:rsid w:val="002A6665"/>
    <w:rsid w:val="002A6A25"/>
    <w:rsid w:val="002A6ADA"/>
    <w:rsid w:val="002A6E43"/>
    <w:rsid w:val="002A75DD"/>
    <w:rsid w:val="002A7A17"/>
    <w:rsid w:val="002A7B49"/>
    <w:rsid w:val="002A7C34"/>
    <w:rsid w:val="002B0097"/>
    <w:rsid w:val="002B020C"/>
    <w:rsid w:val="002B1335"/>
    <w:rsid w:val="002B1793"/>
    <w:rsid w:val="002B1B20"/>
    <w:rsid w:val="002B20A4"/>
    <w:rsid w:val="002B260F"/>
    <w:rsid w:val="002B267C"/>
    <w:rsid w:val="002B27C3"/>
    <w:rsid w:val="002B27D7"/>
    <w:rsid w:val="002B28B6"/>
    <w:rsid w:val="002B3AEE"/>
    <w:rsid w:val="002B4016"/>
    <w:rsid w:val="002B4078"/>
    <w:rsid w:val="002B4C53"/>
    <w:rsid w:val="002B5202"/>
    <w:rsid w:val="002B547D"/>
    <w:rsid w:val="002B5AA4"/>
    <w:rsid w:val="002B5CE0"/>
    <w:rsid w:val="002B61E2"/>
    <w:rsid w:val="002B68C4"/>
    <w:rsid w:val="002B69C0"/>
    <w:rsid w:val="002B6A37"/>
    <w:rsid w:val="002B720F"/>
    <w:rsid w:val="002B75BA"/>
    <w:rsid w:val="002C108E"/>
    <w:rsid w:val="002C1631"/>
    <w:rsid w:val="002C1671"/>
    <w:rsid w:val="002C1D9F"/>
    <w:rsid w:val="002C22B1"/>
    <w:rsid w:val="002C2397"/>
    <w:rsid w:val="002C2701"/>
    <w:rsid w:val="002C28DC"/>
    <w:rsid w:val="002C2BBB"/>
    <w:rsid w:val="002C2FB9"/>
    <w:rsid w:val="002C30AB"/>
    <w:rsid w:val="002C32C4"/>
    <w:rsid w:val="002C33CB"/>
    <w:rsid w:val="002C3651"/>
    <w:rsid w:val="002C365E"/>
    <w:rsid w:val="002C3C58"/>
    <w:rsid w:val="002C3CEC"/>
    <w:rsid w:val="002C3E3A"/>
    <w:rsid w:val="002C47E7"/>
    <w:rsid w:val="002C4C54"/>
    <w:rsid w:val="002C4D0E"/>
    <w:rsid w:val="002C62EC"/>
    <w:rsid w:val="002C647C"/>
    <w:rsid w:val="002C651A"/>
    <w:rsid w:val="002C6C1B"/>
    <w:rsid w:val="002C6CBA"/>
    <w:rsid w:val="002C7228"/>
    <w:rsid w:val="002C75ED"/>
    <w:rsid w:val="002C7A3F"/>
    <w:rsid w:val="002D0696"/>
    <w:rsid w:val="002D11F3"/>
    <w:rsid w:val="002D1921"/>
    <w:rsid w:val="002D2232"/>
    <w:rsid w:val="002D31E1"/>
    <w:rsid w:val="002D435D"/>
    <w:rsid w:val="002D4631"/>
    <w:rsid w:val="002D4850"/>
    <w:rsid w:val="002D4EBC"/>
    <w:rsid w:val="002D5232"/>
    <w:rsid w:val="002D52D4"/>
    <w:rsid w:val="002D6647"/>
    <w:rsid w:val="002D6B71"/>
    <w:rsid w:val="002D6CA4"/>
    <w:rsid w:val="002D6FC4"/>
    <w:rsid w:val="002D73D0"/>
    <w:rsid w:val="002D77FA"/>
    <w:rsid w:val="002E01AC"/>
    <w:rsid w:val="002E179D"/>
    <w:rsid w:val="002E1B4F"/>
    <w:rsid w:val="002E1C01"/>
    <w:rsid w:val="002E1D70"/>
    <w:rsid w:val="002E20A0"/>
    <w:rsid w:val="002E2160"/>
    <w:rsid w:val="002E22F0"/>
    <w:rsid w:val="002E254A"/>
    <w:rsid w:val="002E25F0"/>
    <w:rsid w:val="002E2793"/>
    <w:rsid w:val="002E2883"/>
    <w:rsid w:val="002E28E0"/>
    <w:rsid w:val="002E2D2E"/>
    <w:rsid w:val="002E3267"/>
    <w:rsid w:val="002E43DE"/>
    <w:rsid w:val="002E4761"/>
    <w:rsid w:val="002E486D"/>
    <w:rsid w:val="002E4CAB"/>
    <w:rsid w:val="002E544A"/>
    <w:rsid w:val="002E577B"/>
    <w:rsid w:val="002E5BCE"/>
    <w:rsid w:val="002E6954"/>
    <w:rsid w:val="002E703A"/>
    <w:rsid w:val="002E7170"/>
    <w:rsid w:val="002E7E7B"/>
    <w:rsid w:val="002F014C"/>
    <w:rsid w:val="002F0242"/>
    <w:rsid w:val="002F0A58"/>
    <w:rsid w:val="002F0DCC"/>
    <w:rsid w:val="002F10C5"/>
    <w:rsid w:val="002F1ADD"/>
    <w:rsid w:val="002F279A"/>
    <w:rsid w:val="002F2BE1"/>
    <w:rsid w:val="002F2CE2"/>
    <w:rsid w:val="002F427F"/>
    <w:rsid w:val="002F4556"/>
    <w:rsid w:val="002F4AD0"/>
    <w:rsid w:val="002F4CDE"/>
    <w:rsid w:val="002F5165"/>
    <w:rsid w:val="002F5BAC"/>
    <w:rsid w:val="002F5C54"/>
    <w:rsid w:val="002F69D1"/>
    <w:rsid w:val="002F6F14"/>
    <w:rsid w:val="002F77F1"/>
    <w:rsid w:val="002F7D35"/>
    <w:rsid w:val="002F7E40"/>
    <w:rsid w:val="003001F4"/>
    <w:rsid w:val="003008FD"/>
    <w:rsid w:val="003010EB"/>
    <w:rsid w:val="00301560"/>
    <w:rsid w:val="00301DA3"/>
    <w:rsid w:val="0030333A"/>
    <w:rsid w:val="00303F37"/>
    <w:rsid w:val="00303FFE"/>
    <w:rsid w:val="003046CC"/>
    <w:rsid w:val="003047CE"/>
    <w:rsid w:val="00305BA9"/>
    <w:rsid w:val="003060D4"/>
    <w:rsid w:val="00306459"/>
    <w:rsid w:val="00306847"/>
    <w:rsid w:val="00306E65"/>
    <w:rsid w:val="003076F2"/>
    <w:rsid w:val="0030787C"/>
    <w:rsid w:val="00307C4B"/>
    <w:rsid w:val="00307F23"/>
    <w:rsid w:val="00311182"/>
    <w:rsid w:val="00311C69"/>
    <w:rsid w:val="00312403"/>
    <w:rsid w:val="003128FF"/>
    <w:rsid w:val="00312ABD"/>
    <w:rsid w:val="00312B54"/>
    <w:rsid w:val="00312E4E"/>
    <w:rsid w:val="003133C1"/>
    <w:rsid w:val="003135A1"/>
    <w:rsid w:val="00313804"/>
    <w:rsid w:val="0031429D"/>
    <w:rsid w:val="00314ABE"/>
    <w:rsid w:val="0031508F"/>
    <w:rsid w:val="0031533C"/>
    <w:rsid w:val="00315BF9"/>
    <w:rsid w:val="00316532"/>
    <w:rsid w:val="00316782"/>
    <w:rsid w:val="003167CF"/>
    <w:rsid w:val="00316A46"/>
    <w:rsid w:val="00316C71"/>
    <w:rsid w:val="00317224"/>
    <w:rsid w:val="003179D2"/>
    <w:rsid w:val="00317F3A"/>
    <w:rsid w:val="00317FC8"/>
    <w:rsid w:val="00320172"/>
    <w:rsid w:val="00320204"/>
    <w:rsid w:val="00320D9F"/>
    <w:rsid w:val="00321284"/>
    <w:rsid w:val="00321F01"/>
    <w:rsid w:val="00322129"/>
    <w:rsid w:val="003222EF"/>
    <w:rsid w:val="00322B36"/>
    <w:rsid w:val="0032337C"/>
    <w:rsid w:val="003237E4"/>
    <w:rsid w:val="00323CD1"/>
    <w:rsid w:val="00324CB1"/>
    <w:rsid w:val="00325E2D"/>
    <w:rsid w:val="00325E2E"/>
    <w:rsid w:val="00326009"/>
    <w:rsid w:val="00326740"/>
    <w:rsid w:val="00326787"/>
    <w:rsid w:val="00326FFC"/>
    <w:rsid w:val="003270D0"/>
    <w:rsid w:val="00327E62"/>
    <w:rsid w:val="0033056E"/>
    <w:rsid w:val="0033105A"/>
    <w:rsid w:val="00331695"/>
    <w:rsid w:val="00331BB5"/>
    <w:rsid w:val="003324B0"/>
    <w:rsid w:val="00332E1C"/>
    <w:rsid w:val="00333423"/>
    <w:rsid w:val="00333C62"/>
    <w:rsid w:val="00334822"/>
    <w:rsid w:val="00334EC5"/>
    <w:rsid w:val="00335014"/>
    <w:rsid w:val="00335667"/>
    <w:rsid w:val="00335A10"/>
    <w:rsid w:val="00336058"/>
    <w:rsid w:val="00336103"/>
    <w:rsid w:val="00336333"/>
    <w:rsid w:val="0033637B"/>
    <w:rsid w:val="00336641"/>
    <w:rsid w:val="00337478"/>
    <w:rsid w:val="00337758"/>
    <w:rsid w:val="003401B3"/>
    <w:rsid w:val="003404FC"/>
    <w:rsid w:val="00340A50"/>
    <w:rsid w:val="00340AD7"/>
    <w:rsid w:val="00341265"/>
    <w:rsid w:val="00341A31"/>
    <w:rsid w:val="00341A81"/>
    <w:rsid w:val="00341EFC"/>
    <w:rsid w:val="00342B08"/>
    <w:rsid w:val="00342D95"/>
    <w:rsid w:val="00342F53"/>
    <w:rsid w:val="00343788"/>
    <w:rsid w:val="00343BDB"/>
    <w:rsid w:val="003449EC"/>
    <w:rsid w:val="0034512C"/>
    <w:rsid w:val="00345292"/>
    <w:rsid w:val="00345405"/>
    <w:rsid w:val="00345690"/>
    <w:rsid w:val="003456EB"/>
    <w:rsid w:val="00345C24"/>
    <w:rsid w:val="003471C2"/>
    <w:rsid w:val="003476EA"/>
    <w:rsid w:val="003478BF"/>
    <w:rsid w:val="00347BAB"/>
    <w:rsid w:val="00351507"/>
    <w:rsid w:val="0035293F"/>
    <w:rsid w:val="00352B68"/>
    <w:rsid w:val="00353397"/>
    <w:rsid w:val="003536AD"/>
    <w:rsid w:val="00353A3D"/>
    <w:rsid w:val="003554D7"/>
    <w:rsid w:val="00355D65"/>
    <w:rsid w:val="00356015"/>
    <w:rsid w:val="003568F0"/>
    <w:rsid w:val="00356CA4"/>
    <w:rsid w:val="00357D88"/>
    <w:rsid w:val="00357FE7"/>
    <w:rsid w:val="00360EF6"/>
    <w:rsid w:val="00360F83"/>
    <w:rsid w:val="0036117E"/>
    <w:rsid w:val="00361DC1"/>
    <w:rsid w:val="003622B1"/>
    <w:rsid w:val="00362DD1"/>
    <w:rsid w:val="00362F36"/>
    <w:rsid w:val="00363A7D"/>
    <w:rsid w:val="003641A2"/>
    <w:rsid w:val="003646A7"/>
    <w:rsid w:val="00364825"/>
    <w:rsid w:val="00364C95"/>
    <w:rsid w:val="00365015"/>
    <w:rsid w:val="003654D0"/>
    <w:rsid w:val="00365E58"/>
    <w:rsid w:val="0036684E"/>
    <w:rsid w:val="00366F38"/>
    <w:rsid w:val="00366F79"/>
    <w:rsid w:val="00367617"/>
    <w:rsid w:val="00370FCB"/>
    <w:rsid w:val="00371DB1"/>
    <w:rsid w:val="00372208"/>
    <w:rsid w:val="003727EA"/>
    <w:rsid w:val="00372CA6"/>
    <w:rsid w:val="00372DBB"/>
    <w:rsid w:val="00373249"/>
    <w:rsid w:val="0037369C"/>
    <w:rsid w:val="00373988"/>
    <w:rsid w:val="00373F65"/>
    <w:rsid w:val="00374B1D"/>
    <w:rsid w:val="00374B8E"/>
    <w:rsid w:val="00375631"/>
    <w:rsid w:val="00375865"/>
    <w:rsid w:val="0037631D"/>
    <w:rsid w:val="00376FFE"/>
    <w:rsid w:val="0037762B"/>
    <w:rsid w:val="00377943"/>
    <w:rsid w:val="0038053F"/>
    <w:rsid w:val="003809E8"/>
    <w:rsid w:val="00380B49"/>
    <w:rsid w:val="00380C4D"/>
    <w:rsid w:val="00381245"/>
    <w:rsid w:val="003813D8"/>
    <w:rsid w:val="00381F5A"/>
    <w:rsid w:val="00382E07"/>
    <w:rsid w:val="003832FE"/>
    <w:rsid w:val="003845CA"/>
    <w:rsid w:val="00384693"/>
    <w:rsid w:val="00384C20"/>
    <w:rsid w:val="00384EDF"/>
    <w:rsid w:val="00384F49"/>
    <w:rsid w:val="00384FF0"/>
    <w:rsid w:val="00384FFC"/>
    <w:rsid w:val="003856EB"/>
    <w:rsid w:val="0038573A"/>
    <w:rsid w:val="003857A1"/>
    <w:rsid w:val="00385AA5"/>
    <w:rsid w:val="003873A5"/>
    <w:rsid w:val="00387743"/>
    <w:rsid w:val="00387B19"/>
    <w:rsid w:val="0039014B"/>
    <w:rsid w:val="00390551"/>
    <w:rsid w:val="003909A5"/>
    <w:rsid w:val="00390AAE"/>
    <w:rsid w:val="00390AAF"/>
    <w:rsid w:val="00390B17"/>
    <w:rsid w:val="00390C3E"/>
    <w:rsid w:val="00391019"/>
    <w:rsid w:val="00391405"/>
    <w:rsid w:val="0039192C"/>
    <w:rsid w:val="00391B7F"/>
    <w:rsid w:val="00391F22"/>
    <w:rsid w:val="003920F6"/>
    <w:rsid w:val="0039221D"/>
    <w:rsid w:val="00392231"/>
    <w:rsid w:val="0039246C"/>
    <w:rsid w:val="003925A4"/>
    <w:rsid w:val="00392EC3"/>
    <w:rsid w:val="00393BF6"/>
    <w:rsid w:val="00394AEB"/>
    <w:rsid w:val="00394EF7"/>
    <w:rsid w:val="00395599"/>
    <w:rsid w:val="00395857"/>
    <w:rsid w:val="0039585E"/>
    <w:rsid w:val="00395CC5"/>
    <w:rsid w:val="00396FD3"/>
    <w:rsid w:val="0039703A"/>
    <w:rsid w:val="00397F50"/>
    <w:rsid w:val="003A07A1"/>
    <w:rsid w:val="003A09F6"/>
    <w:rsid w:val="003A0A16"/>
    <w:rsid w:val="003A12D2"/>
    <w:rsid w:val="003A1332"/>
    <w:rsid w:val="003A1C5E"/>
    <w:rsid w:val="003A24B1"/>
    <w:rsid w:val="003A3034"/>
    <w:rsid w:val="003A4568"/>
    <w:rsid w:val="003A5E1F"/>
    <w:rsid w:val="003A60E2"/>
    <w:rsid w:val="003A6158"/>
    <w:rsid w:val="003A6694"/>
    <w:rsid w:val="003A7102"/>
    <w:rsid w:val="003A7136"/>
    <w:rsid w:val="003A79F1"/>
    <w:rsid w:val="003B0766"/>
    <w:rsid w:val="003B07B0"/>
    <w:rsid w:val="003B07CA"/>
    <w:rsid w:val="003B0CA0"/>
    <w:rsid w:val="003B0D31"/>
    <w:rsid w:val="003B1043"/>
    <w:rsid w:val="003B144C"/>
    <w:rsid w:val="003B158B"/>
    <w:rsid w:val="003B28DA"/>
    <w:rsid w:val="003B2B11"/>
    <w:rsid w:val="003B31CF"/>
    <w:rsid w:val="003B3642"/>
    <w:rsid w:val="003B38A6"/>
    <w:rsid w:val="003B406A"/>
    <w:rsid w:val="003B4C27"/>
    <w:rsid w:val="003B5930"/>
    <w:rsid w:val="003B5DDE"/>
    <w:rsid w:val="003B6C0C"/>
    <w:rsid w:val="003B74EB"/>
    <w:rsid w:val="003B7B9C"/>
    <w:rsid w:val="003C014D"/>
    <w:rsid w:val="003C01FF"/>
    <w:rsid w:val="003C0514"/>
    <w:rsid w:val="003C07EE"/>
    <w:rsid w:val="003C0B1A"/>
    <w:rsid w:val="003C16E2"/>
    <w:rsid w:val="003C1B14"/>
    <w:rsid w:val="003C2345"/>
    <w:rsid w:val="003C2614"/>
    <w:rsid w:val="003C2905"/>
    <w:rsid w:val="003C2FB4"/>
    <w:rsid w:val="003C3046"/>
    <w:rsid w:val="003C4C8C"/>
    <w:rsid w:val="003C4D71"/>
    <w:rsid w:val="003C50C1"/>
    <w:rsid w:val="003C5357"/>
    <w:rsid w:val="003C563E"/>
    <w:rsid w:val="003C5862"/>
    <w:rsid w:val="003C5A79"/>
    <w:rsid w:val="003C5E40"/>
    <w:rsid w:val="003C6239"/>
    <w:rsid w:val="003C6494"/>
    <w:rsid w:val="003C6848"/>
    <w:rsid w:val="003C6A20"/>
    <w:rsid w:val="003C6DF5"/>
    <w:rsid w:val="003C7072"/>
    <w:rsid w:val="003C761D"/>
    <w:rsid w:val="003C7736"/>
    <w:rsid w:val="003D00A1"/>
    <w:rsid w:val="003D0B18"/>
    <w:rsid w:val="003D0B86"/>
    <w:rsid w:val="003D0E9F"/>
    <w:rsid w:val="003D0EB3"/>
    <w:rsid w:val="003D0F33"/>
    <w:rsid w:val="003D1B53"/>
    <w:rsid w:val="003D3825"/>
    <w:rsid w:val="003D4413"/>
    <w:rsid w:val="003D4D5A"/>
    <w:rsid w:val="003D5352"/>
    <w:rsid w:val="003D5726"/>
    <w:rsid w:val="003D5E10"/>
    <w:rsid w:val="003D6363"/>
    <w:rsid w:val="003D6A2F"/>
    <w:rsid w:val="003D70CD"/>
    <w:rsid w:val="003D7107"/>
    <w:rsid w:val="003D7168"/>
    <w:rsid w:val="003D7421"/>
    <w:rsid w:val="003D7989"/>
    <w:rsid w:val="003D7EFB"/>
    <w:rsid w:val="003E036F"/>
    <w:rsid w:val="003E05C3"/>
    <w:rsid w:val="003E13CB"/>
    <w:rsid w:val="003E1478"/>
    <w:rsid w:val="003E1F39"/>
    <w:rsid w:val="003E1F3D"/>
    <w:rsid w:val="003E2A2E"/>
    <w:rsid w:val="003E2DB8"/>
    <w:rsid w:val="003E2DB9"/>
    <w:rsid w:val="003E32A4"/>
    <w:rsid w:val="003E3FC8"/>
    <w:rsid w:val="003E4501"/>
    <w:rsid w:val="003E4703"/>
    <w:rsid w:val="003E4B9B"/>
    <w:rsid w:val="003E4BB8"/>
    <w:rsid w:val="003E4BD2"/>
    <w:rsid w:val="003E50C5"/>
    <w:rsid w:val="003E56FB"/>
    <w:rsid w:val="003E5BDF"/>
    <w:rsid w:val="003E5D4F"/>
    <w:rsid w:val="003E6225"/>
    <w:rsid w:val="003E6DAB"/>
    <w:rsid w:val="003E7E29"/>
    <w:rsid w:val="003E7F92"/>
    <w:rsid w:val="003F04B4"/>
    <w:rsid w:val="003F0719"/>
    <w:rsid w:val="003F1191"/>
    <w:rsid w:val="003F14A0"/>
    <w:rsid w:val="003F21EA"/>
    <w:rsid w:val="003F284A"/>
    <w:rsid w:val="003F295A"/>
    <w:rsid w:val="003F2ECC"/>
    <w:rsid w:val="003F327A"/>
    <w:rsid w:val="003F35B6"/>
    <w:rsid w:val="003F3919"/>
    <w:rsid w:val="003F3FD6"/>
    <w:rsid w:val="003F4A14"/>
    <w:rsid w:val="003F52F3"/>
    <w:rsid w:val="003F53C5"/>
    <w:rsid w:val="003F5B84"/>
    <w:rsid w:val="003F5DC5"/>
    <w:rsid w:val="003F61FD"/>
    <w:rsid w:val="003F6690"/>
    <w:rsid w:val="003F681E"/>
    <w:rsid w:val="003F7898"/>
    <w:rsid w:val="003F7ABD"/>
    <w:rsid w:val="004001A0"/>
    <w:rsid w:val="004006B1"/>
    <w:rsid w:val="00400B00"/>
    <w:rsid w:val="00400F02"/>
    <w:rsid w:val="00401026"/>
    <w:rsid w:val="00401A06"/>
    <w:rsid w:val="0040263D"/>
    <w:rsid w:val="004027A3"/>
    <w:rsid w:val="00403955"/>
    <w:rsid w:val="00403C70"/>
    <w:rsid w:val="00403F8C"/>
    <w:rsid w:val="004041E5"/>
    <w:rsid w:val="004042A6"/>
    <w:rsid w:val="0040437D"/>
    <w:rsid w:val="00404608"/>
    <w:rsid w:val="00404BFF"/>
    <w:rsid w:val="004050BC"/>
    <w:rsid w:val="00405CE4"/>
    <w:rsid w:val="00407480"/>
    <w:rsid w:val="004075F8"/>
    <w:rsid w:val="004102C8"/>
    <w:rsid w:val="004106E0"/>
    <w:rsid w:val="004110C7"/>
    <w:rsid w:val="0041127E"/>
    <w:rsid w:val="00411433"/>
    <w:rsid w:val="004128C3"/>
    <w:rsid w:val="0041290B"/>
    <w:rsid w:val="00412CDE"/>
    <w:rsid w:val="00412D55"/>
    <w:rsid w:val="00413777"/>
    <w:rsid w:val="004138B8"/>
    <w:rsid w:val="0041422D"/>
    <w:rsid w:val="00414272"/>
    <w:rsid w:val="004143ED"/>
    <w:rsid w:val="004143F5"/>
    <w:rsid w:val="0041520F"/>
    <w:rsid w:val="0041619F"/>
    <w:rsid w:val="00416353"/>
    <w:rsid w:val="004166FD"/>
    <w:rsid w:val="00416B04"/>
    <w:rsid w:val="00416B5C"/>
    <w:rsid w:val="00417FC7"/>
    <w:rsid w:val="004206AA"/>
    <w:rsid w:val="004226F9"/>
    <w:rsid w:val="0042355D"/>
    <w:rsid w:val="00423AD1"/>
    <w:rsid w:val="00423CC5"/>
    <w:rsid w:val="00424425"/>
    <w:rsid w:val="00424BA9"/>
    <w:rsid w:val="00424DCB"/>
    <w:rsid w:val="00424E8B"/>
    <w:rsid w:val="00424FA3"/>
    <w:rsid w:val="00426ADD"/>
    <w:rsid w:val="004273CC"/>
    <w:rsid w:val="00427D15"/>
    <w:rsid w:val="00427DA6"/>
    <w:rsid w:val="004310B4"/>
    <w:rsid w:val="00431950"/>
    <w:rsid w:val="004320E9"/>
    <w:rsid w:val="004328DD"/>
    <w:rsid w:val="004333C4"/>
    <w:rsid w:val="00434366"/>
    <w:rsid w:val="00434655"/>
    <w:rsid w:val="00434BB7"/>
    <w:rsid w:val="0043543C"/>
    <w:rsid w:val="00435BF0"/>
    <w:rsid w:val="004362AE"/>
    <w:rsid w:val="004363F6"/>
    <w:rsid w:val="00436B25"/>
    <w:rsid w:val="00436B52"/>
    <w:rsid w:val="00436FBC"/>
    <w:rsid w:val="004370C5"/>
    <w:rsid w:val="00437952"/>
    <w:rsid w:val="00437EE4"/>
    <w:rsid w:val="004404AC"/>
    <w:rsid w:val="0044074C"/>
    <w:rsid w:val="00440C2E"/>
    <w:rsid w:val="00440DF7"/>
    <w:rsid w:val="00441875"/>
    <w:rsid w:val="00441B89"/>
    <w:rsid w:val="00442C53"/>
    <w:rsid w:val="00442D0D"/>
    <w:rsid w:val="00442D8D"/>
    <w:rsid w:val="00444BC2"/>
    <w:rsid w:val="004452AB"/>
    <w:rsid w:val="00445765"/>
    <w:rsid w:val="00445CBF"/>
    <w:rsid w:val="00445E72"/>
    <w:rsid w:val="0044658A"/>
    <w:rsid w:val="0044702E"/>
    <w:rsid w:val="00447062"/>
    <w:rsid w:val="0044777B"/>
    <w:rsid w:val="004500BD"/>
    <w:rsid w:val="004511E8"/>
    <w:rsid w:val="004518C0"/>
    <w:rsid w:val="0045244C"/>
    <w:rsid w:val="00452850"/>
    <w:rsid w:val="0045295F"/>
    <w:rsid w:val="00452F7F"/>
    <w:rsid w:val="00453AFF"/>
    <w:rsid w:val="00453F8B"/>
    <w:rsid w:val="00454566"/>
    <w:rsid w:val="004546AA"/>
    <w:rsid w:val="00455054"/>
    <w:rsid w:val="00455089"/>
    <w:rsid w:val="004560AF"/>
    <w:rsid w:val="00456215"/>
    <w:rsid w:val="00456783"/>
    <w:rsid w:val="0045680A"/>
    <w:rsid w:val="00456D2B"/>
    <w:rsid w:val="00456D9B"/>
    <w:rsid w:val="0045737D"/>
    <w:rsid w:val="00457482"/>
    <w:rsid w:val="00457D98"/>
    <w:rsid w:val="004615A8"/>
    <w:rsid w:val="004618D9"/>
    <w:rsid w:val="004619FB"/>
    <w:rsid w:val="00461AE4"/>
    <w:rsid w:val="00461FE3"/>
    <w:rsid w:val="00462B10"/>
    <w:rsid w:val="00462E9F"/>
    <w:rsid w:val="004633EA"/>
    <w:rsid w:val="00463546"/>
    <w:rsid w:val="00463827"/>
    <w:rsid w:val="00463853"/>
    <w:rsid w:val="0046401E"/>
    <w:rsid w:val="004640DD"/>
    <w:rsid w:val="00464190"/>
    <w:rsid w:val="00464FE4"/>
    <w:rsid w:val="00465763"/>
    <w:rsid w:val="004668DA"/>
    <w:rsid w:val="00466E54"/>
    <w:rsid w:val="00467D03"/>
    <w:rsid w:val="00467E8A"/>
    <w:rsid w:val="00467E94"/>
    <w:rsid w:val="00467EF9"/>
    <w:rsid w:val="00470565"/>
    <w:rsid w:val="004711D9"/>
    <w:rsid w:val="00471282"/>
    <w:rsid w:val="004713EF"/>
    <w:rsid w:val="00471D01"/>
    <w:rsid w:val="004728E3"/>
    <w:rsid w:val="00473371"/>
    <w:rsid w:val="00473970"/>
    <w:rsid w:val="00473A3B"/>
    <w:rsid w:val="004744DE"/>
    <w:rsid w:val="004744E6"/>
    <w:rsid w:val="00474DF7"/>
    <w:rsid w:val="00475640"/>
    <w:rsid w:val="00475F75"/>
    <w:rsid w:val="00476156"/>
    <w:rsid w:val="004767B4"/>
    <w:rsid w:val="00476A45"/>
    <w:rsid w:val="004770F6"/>
    <w:rsid w:val="00477110"/>
    <w:rsid w:val="004771FA"/>
    <w:rsid w:val="00477C6F"/>
    <w:rsid w:val="00477D41"/>
    <w:rsid w:val="004800D7"/>
    <w:rsid w:val="00480A01"/>
    <w:rsid w:val="00480A90"/>
    <w:rsid w:val="00480AAB"/>
    <w:rsid w:val="00480B50"/>
    <w:rsid w:val="00481118"/>
    <w:rsid w:val="00481EEA"/>
    <w:rsid w:val="00482522"/>
    <w:rsid w:val="00482851"/>
    <w:rsid w:val="00482E2B"/>
    <w:rsid w:val="00482E4D"/>
    <w:rsid w:val="00483924"/>
    <w:rsid w:val="00484644"/>
    <w:rsid w:val="00484C01"/>
    <w:rsid w:val="00484E4C"/>
    <w:rsid w:val="00485B3A"/>
    <w:rsid w:val="00486617"/>
    <w:rsid w:val="004868B1"/>
    <w:rsid w:val="00486B0A"/>
    <w:rsid w:val="00487192"/>
    <w:rsid w:val="0049006F"/>
    <w:rsid w:val="00490F86"/>
    <w:rsid w:val="004910C8"/>
    <w:rsid w:val="004918D8"/>
    <w:rsid w:val="00492EC3"/>
    <w:rsid w:val="00493070"/>
    <w:rsid w:val="00493B68"/>
    <w:rsid w:val="00493BA9"/>
    <w:rsid w:val="004949E2"/>
    <w:rsid w:val="00496023"/>
    <w:rsid w:val="00496328"/>
    <w:rsid w:val="004965B3"/>
    <w:rsid w:val="00497067"/>
    <w:rsid w:val="004971EB"/>
    <w:rsid w:val="0049779D"/>
    <w:rsid w:val="00497FE8"/>
    <w:rsid w:val="004A0839"/>
    <w:rsid w:val="004A1110"/>
    <w:rsid w:val="004A1196"/>
    <w:rsid w:val="004A1E5E"/>
    <w:rsid w:val="004A1F55"/>
    <w:rsid w:val="004A20D3"/>
    <w:rsid w:val="004A234E"/>
    <w:rsid w:val="004A2656"/>
    <w:rsid w:val="004A293B"/>
    <w:rsid w:val="004A2FD9"/>
    <w:rsid w:val="004A3F56"/>
    <w:rsid w:val="004A41AC"/>
    <w:rsid w:val="004A4935"/>
    <w:rsid w:val="004A4A7D"/>
    <w:rsid w:val="004A501C"/>
    <w:rsid w:val="004A569A"/>
    <w:rsid w:val="004A5E3C"/>
    <w:rsid w:val="004A6CD7"/>
    <w:rsid w:val="004A72F7"/>
    <w:rsid w:val="004A798A"/>
    <w:rsid w:val="004A7D8D"/>
    <w:rsid w:val="004B0AE5"/>
    <w:rsid w:val="004B0E88"/>
    <w:rsid w:val="004B0FF4"/>
    <w:rsid w:val="004B1100"/>
    <w:rsid w:val="004B20C7"/>
    <w:rsid w:val="004B20E6"/>
    <w:rsid w:val="004B44DE"/>
    <w:rsid w:val="004B4541"/>
    <w:rsid w:val="004B4AC5"/>
    <w:rsid w:val="004B4C4B"/>
    <w:rsid w:val="004B509B"/>
    <w:rsid w:val="004B525E"/>
    <w:rsid w:val="004B548F"/>
    <w:rsid w:val="004B5928"/>
    <w:rsid w:val="004B63D9"/>
    <w:rsid w:val="004B6493"/>
    <w:rsid w:val="004B69AA"/>
    <w:rsid w:val="004B6E3D"/>
    <w:rsid w:val="004B7154"/>
    <w:rsid w:val="004B796A"/>
    <w:rsid w:val="004B7A97"/>
    <w:rsid w:val="004C022E"/>
    <w:rsid w:val="004C0CF9"/>
    <w:rsid w:val="004C0DD6"/>
    <w:rsid w:val="004C1164"/>
    <w:rsid w:val="004C1292"/>
    <w:rsid w:val="004C2228"/>
    <w:rsid w:val="004C24C1"/>
    <w:rsid w:val="004C27B4"/>
    <w:rsid w:val="004C2BED"/>
    <w:rsid w:val="004C30B7"/>
    <w:rsid w:val="004C30BA"/>
    <w:rsid w:val="004C337D"/>
    <w:rsid w:val="004C3844"/>
    <w:rsid w:val="004C397E"/>
    <w:rsid w:val="004C3A49"/>
    <w:rsid w:val="004C3F45"/>
    <w:rsid w:val="004C44D0"/>
    <w:rsid w:val="004C4DAE"/>
    <w:rsid w:val="004C521E"/>
    <w:rsid w:val="004C5452"/>
    <w:rsid w:val="004C5C3C"/>
    <w:rsid w:val="004C65ED"/>
    <w:rsid w:val="004C7759"/>
    <w:rsid w:val="004D0920"/>
    <w:rsid w:val="004D151D"/>
    <w:rsid w:val="004D15B8"/>
    <w:rsid w:val="004D17D7"/>
    <w:rsid w:val="004D2291"/>
    <w:rsid w:val="004D2E5D"/>
    <w:rsid w:val="004D369E"/>
    <w:rsid w:val="004D36F0"/>
    <w:rsid w:val="004D3C39"/>
    <w:rsid w:val="004D4237"/>
    <w:rsid w:val="004D4485"/>
    <w:rsid w:val="004D4544"/>
    <w:rsid w:val="004D4827"/>
    <w:rsid w:val="004D4920"/>
    <w:rsid w:val="004D4BE1"/>
    <w:rsid w:val="004D548D"/>
    <w:rsid w:val="004D652B"/>
    <w:rsid w:val="004D654E"/>
    <w:rsid w:val="004D71D2"/>
    <w:rsid w:val="004D7405"/>
    <w:rsid w:val="004D7832"/>
    <w:rsid w:val="004D7AA0"/>
    <w:rsid w:val="004E006D"/>
    <w:rsid w:val="004E00C6"/>
    <w:rsid w:val="004E011A"/>
    <w:rsid w:val="004E02F8"/>
    <w:rsid w:val="004E09A6"/>
    <w:rsid w:val="004E09E7"/>
    <w:rsid w:val="004E0DCE"/>
    <w:rsid w:val="004E0E65"/>
    <w:rsid w:val="004E1762"/>
    <w:rsid w:val="004E178F"/>
    <w:rsid w:val="004E17FC"/>
    <w:rsid w:val="004E234F"/>
    <w:rsid w:val="004E25FB"/>
    <w:rsid w:val="004E26FD"/>
    <w:rsid w:val="004E29DC"/>
    <w:rsid w:val="004E3976"/>
    <w:rsid w:val="004E3978"/>
    <w:rsid w:val="004E3B37"/>
    <w:rsid w:val="004E3DA6"/>
    <w:rsid w:val="004E4219"/>
    <w:rsid w:val="004E4FCE"/>
    <w:rsid w:val="004E510D"/>
    <w:rsid w:val="004E5431"/>
    <w:rsid w:val="004E5EF9"/>
    <w:rsid w:val="004E5FCC"/>
    <w:rsid w:val="004E63A3"/>
    <w:rsid w:val="004E7D61"/>
    <w:rsid w:val="004E7D82"/>
    <w:rsid w:val="004F01D6"/>
    <w:rsid w:val="004F0904"/>
    <w:rsid w:val="004F1E6E"/>
    <w:rsid w:val="004F1F27"/>
    <w:rsid w:val="004F2437"/>
    <w:rsid w:val="004F3D91"/>
    <w:rsid w:val="004F3EA5"/>
    <w:rsid w:val="004F4264"/>
    <w:rsid w:val="004F4710"/>
    <w:rsid w:val="004F481D"/>
    <w:rsid w:val="004F509A"/>
    <w:rsid w:val="004F5275"/>
    <w:rsid w:val="004F5E47"/>
    <w:rsid w:val="004F5FCE"/>
    <w:rsid w:val="004F6077"/>
    <w:rsid w:val="004F6609"/>
    <w:rsid w:val="004F6905"/>
    <w:rsid w:val="004F6E0D"/>
    <w:rsid w:val="004F7509"/>
    <w:rsid w:val="004F7E1E"/>
    <w:rsid w:val="004F7E29"/>
    <w:rsid w:val="004F7EA4"/>
    <w:rsid w:val="00500415"/>
    <w:rsid w:val="005004DD"/>
    <w:rsid w:val="005005AD"/>
    <w:rsid w:val="005013CA"/>
    <w:rsid w:val="00501660"/>
    <w:rsid w:val="0050187C"/>
    <w:rsid w:val="00501A6C"/>
    <w:rsid w:val="00501A89"/>
    <w:rsid w:val="00501B19"/>
    <w:rsid w:val="00501E18"/>
    <w:rsid w:val="00502437"/>
    <w:rsid w:val="005026FC"/>
    <w:rsid w:val="0050329B"/>
    <w:rsid w:val="00503D1B"/>
    <w:rsid w:val="00504351"/>
    <w:rsid w:val="00504AAA"/>
    <w:rsid w:val="00504D1F"/>
    <w:rsid w:val="00505DAE"/>
    <w:rsid w:val="00506789"/>
    <w:rsid w:val="0050731C"/>
    <w:rsid w:val="0050765F"/>
    <w:rsid w:val="0050772D"/>
    <w:rsid w:val="005100AF"/>
    <w:rsid w:val="00510A33"/>
    <w:rsid w:val="00510ACD"/>
    <w:rsid w:val="00510F6F"/>
    <w:rsid w:val="00511076"/>
    <w:rsid w:val="00511794"/>
    <w:rsid w:val="00511AE3"/>
    <w:rsid w:val="00511FC7"/>
    <w:rsid w:val="005122F5"/>
    <w:rsid w:val="00512619"/>
    <w:rsid w:val="005127E3"/>
    <w:rsid w:val="00513A48"/>
    <w:rsid w:val="00513C7E"/>
    <w:rsid w:val="00514133"/>
    <w:rsid w:val="00514B78"/>
    <w:rsid w:val="00514C9E"/>
    <w:rsid w:val="00514EB4"/>
    <w:rsid w:val="0051545C"/>
    <w:rsid w:val="0051563E"/>
    <w:rsid w:val="00515ADC"/>
    <w:rsid w:val="00516085"/>
    <w:rsid w:val="005165B1"/>
    <w:rsid w:val="00516638"/>
    <w:rsid w:val="00516D2F"/>
    <w:rsid w:val="00516EB8"/>
    <w:rsid w:val="00517104"/>
    <w:rsid w:val="00517FD2"/>
    <w:rsid w:val="0052087F"/>
    <w:rsid w:val="005214F3"/>
    <w:rsid w:val="005217FE"/>
    <w:rsid w:val="00521F03"/>
    <w:rsid w:val="00522086"/>
    <w:rsid w:val="005221AE"/>
    <w:rsid w:val="00522253"/>
    <w:rsid w:val="00522335"/>
    <w:rsid w:val="005225C2"/>
    <w:rsid w:val="005226CA"/>
    <w:rsid w:val="00522EDF"/>
    <w:rsid w:val="00523676"/>
    <w:rsid w:val="00523724"/>
    <w:rsid w:val="00524003"/>
    <w:rsid w:val="005245E8"/>
    <w:rsid w:val="00524E3F"/>
    <w:rsid w:val="00526C57"/>
    <w:rsid w:val="005278D8"/>
    <w:rsid w:val="00527C93"/>
    <w:rsid w:val="00527F42"/>
    <w:rsid w:val="00530864"/>
    <w:rsid w:val="00530B24"/>
    <w:rsid w:val="00530D3E"/>
    <w:rsid w:val="0053109F"/>
    <w:rsid w:val="0053140B"/>
    <w:rsid w:val="00531EB5"/>
    <w:rsid w:val="005320AA"/>
    <w:rsid w:val="00532B85"/>
    <w:rsid w:val="0053386C"/>
    <w:rsid w:val="00533D84"/>
    <w:rsid w:val="00533F48"/>
    <w:rsid w:val="00534217"/>
    <w:rsid w:val="00534312"/>
    <w:rsid w:val="00534A18"/>
    <w:rsid w:val="00534B99"/>
    <w:rsid w:val="005352D3"/>
    <w:rsid w:val="00535303"/>
    <w:rsid w:val="00535622"/>
    <w:rsid w:val="00535821"/>
    <w:rsid w:val="005359B3"/>
    <w:rsid w:val="00535D7A"/>
    <w:rsid w:val="005365C0"/>
    <w:rsid w:val="005366E8"/>
    <w:rsid w:val="005368F0"/>
    <w:rsid w:val="00537185"/>
    <w:rsid w:val="00537561"/>
    <w:rsid w:val="00537865"/>
    <w:rsid w:val="0054046A"/>
    <w:rsid w:val="0054134F"/>
    <w:rsid w:val="00542034"/>
    <w:rsid w:val="00542148"/>
    <w:rsid w:val="0054231E"/>
    <w:rsid w:val="005428CE"/>
    <w:rsid w:val="00542BC5"/>
    <w:rsid w:val="00542D68"/>
    <w:rsid w:val="00542F7F"/>
    <w:rsid w:val="005444F8"/>
    <w:rsid w:val="00544C3A"/>
    <w:rsid w:val="005458FE"/>
    <w:rsid w:val="00545CB9"/>
    <w:rsid w:val="00546E31"/>
    <w:rsid w:val="00547777"/>
    <w:rsid w:val="00550043"/>
    <w:rsid w:val="005506AE"/>
    <w:rsid w:val="00551032"/>
    <w:rsid w:val="00551D3F"/>
    <w:rsid w:val="00552366"/>
    <w:rsid w:val="005528FE"/>
    <w:rsid w:val="00552AD4"/>
    <w:rsid w:val="00552B19"/>
    <w:rsid w:val="00552CB8"/>
    <w:rsid w:val="00552CBB"/>
    <w:rsid w:val="00552E7D"/>
    <w:rsid w:val="00553926"/>
    <w:rsid w:val="00553B24"/>
    <w:rsid w:val="00553CCC"/>
    <w:rsid w:val="00553F1D"/>
    <w:rsid w:val="00554568"/>
    <w:rsid w:val="005545B6"/>
    <w:rsid w:val="005548CE"/>
    <w:rsid w:val="00554C50"/>
    <w:rsid w:val="00555CDD"/>
    <w:rsid w:val="00555E8E"/>
    <w:rsid w:val="0055604A"/>
    <w:rsid w:val="00557C72"/>
    <w:rsid w:val="00557D99"/>
    <w:rsid w:val="00557E0E"/>
    <w:rsid w:val="0056073C"/>
    <w:rsid w:val="00560DA1"/>
    <w:rsid w:val="0056115B"/>
    <w:rsid w:val="0056120A"/>
    <w:rsid w:val="005613BE"/>
    <w:rsid w:val="00561C89"/>
    <w:rsid w:val="005622CD"/>
    <w:rsid w:val="0056304F"/>
    <w:rsid w:val="00563166"/>
    <w:rsid w:val="0056331C"/>
    <w:rsid w:val="0056363D"/>
    <w:rsid w:val="0056377A"/>
    <w:rsid w:val="005638A9"/>
    <w:rsid w:val="0056480F"/>
    <w:rsid w:val="0056498F"/>
    <w:rsid w:val="005655F8"/>
    <w:rsid w:val="00565DF2"/>
    <w:rsid w:val="00565E04"/>
    <w:rsid w:val="00565E8E"/>
    <w:rsid w:val="0056682C"/>
    <w:rsid w:val="00567518"/>
    <w:rsid w:val="00567562"/>
    <w:rsid w:val="00567A16"/>
    <w:rsid w:val="00567CF5"/>
    <w:rsid w:val="00567EC8"/>
    <w:rsid w:val="005703E7"/>
    <w:rsid w:val="0057082A"/>
    <w:rsid w:val="00570A29"/>
    <w:rsid w:val="00570C18"/>
    <w:rsid w:val="005715EB"/>
    <w:rsid w:val="0057176F"/>
    <w:rsid w:val="0057190C"/>
    <w:rsid w:val="00571A66"/>
    <w:rsid w:val="00571A75"/>
    <w:rsid w:val="00571B1F"/>
    <w:rsid w:val="00572D47"/>
    <w:rsid w:val="00572EE4"/>
    <w:rsid w:val="0057322D"/>
    <w:rsid w:val="00573743"/>
    <w:rsid w:val="00573A4F"/>
    <w:rsid w:val="00573EAF"/>
    <w:rsid w:val="00573EB5"/>
    <w:rsid w:val="00573F2A"/>
    <w:rsid w:val="00573FC0"/>
    <w:rsid w:val="0057412E"/>
    <w:rsid w:val="005744C5"/>
    <w:rsid w:val="005744CE"/>
    <w:rsid w:val="00574EE2"/>
    <w:rsid w:val="005753AB"/>
    <w:rsid w:val="005756F4"/>
    <w:rsid w:val="00576043"/>
    <w:rsid w:val="00576B53"/>
    <w:rsid w:val="00577A83"/>
    <w:rsid w:val="005808D4"/>
    <w:rsid w:val="005809EB"/>
    <w:rsid w:val="00580F1E"/>
    <w:rsid w:val="00581775"/>
    <w:rsid w:val="0058263C"/>
    <w:rsid w:val="00582F47"/>
    <w:rsid w:val="00583128"/>
    <w:rsid w:val="00583466"/>
    <w:rsid w:val="00583E0C"/>
    <w:rsid w:val="0058415F"/>
    <w:rsid w:val="0058488D"/>
    <w:rsid w:val="00584C0A"/>
    <w:rsid w:val="00584CCC"/>
    <w:rsid w:val="005856B1"/>
    <w:rsid w:val="0058684A"/>
    <w:rsid w:val="00586C64"/>
    <w:rsid w:val="00587549"/>
    <w:rsid w:val="0058789A"/>
    <w:rsid w:val="00587AF7"/>
    <w:rsid w:val="00587F60"/>
    <w:rsid w:val="0059095A"/>
    <w:rsid w:val="0059114C"/>
    <w:rsid w:val="0059184C"/>
    <w:rsid w:val="00591C0A"/>
    <w:rsid w:val="005920C8"/>
    <w:rsid w:val="00592419"/>
    <w:rsid w:val="00592817"/>
    <w:rsid w:val="00592BBB"/>
    <w:rsid w:val="00592DF1"/>
    <w:rsid w:val="00592E3A"/>
    <w:rsid w:val="005935D6"/>
    <w:rsid w:val="00593695"/>
    <w:rsid w:val="005936A8"/>
    <w:rsid w:val="0059480B"/>
    <w:rsid w:val="0059490F"/>
    <w:rsid w:val="005955C5"/>
    <w:rsid w:val="00595E39"/>
    <w:rsid w:val="00595F7C"/>
    <w:rsid w:val="005962FA"/>
    <w:rsid w:val="00596329"/>
    <w:rsid w:val="005965F2"/>
    <w:rsid w:val="005965F5"/>
    <w:rsid w:val="005969D8"/>
    <w:rsid w:val="00596BA0"/>
    <w:rsid w:val="00596D83"/>
    <w:rsid w:val="00596ED3"/>
    <w:rsid w:val="005978AC"/>
    <w:rsid w:val="00597EA2"/>
    <w:rsid w:val="005A0B51"/>
    <w:rsid w:val="005A0BC0"/>
    <w:rsid w:val="005A1CE7"/>
    <w:rsid w:val="005A2CBE"/>
    <w:rsid w:val="005A4C11"/>
    <w:rsid w:val="005A4D81"/>
    <w:rsid w:val="005A527E"/>
    <w:rsid w:val="005A54AF"/>
    <w:rsid w:val="005A5763"/>
    <w:rsid w:val="005A5B64"/>
    <w:rsid w:val="005A5D02"/>
    <w:rsid w:val="005A5D68"/>
    <w:rsid w:val="005A5EEB"/>
    <w:rsid w:val="005A5F25"/>
    <w:rsid w:val="005A62CF"/>
    <w:rsid w:val="005A6C81"/>
    <w:rsid w:val="005A77CD"/>
    <w:rsid w:val="005A796D"/>
    <w:rsid w:val="005A7C00"/>
    <w:rsid w:val="005A7FCA"/>
    <w:rsid w:val="005B003E"/>
    <w:rsid w:val="005B0284"/>
    <w:rsid w:val="005B0611"/>
    <w:rsid w:val="005B10F0"/>
    <w:rsid w:val="005B12E1"/>
    <w:rsid w:val="005B19CF"/>
    <w:rsid w:val="005B1D69"/>
    <w:rsid w:val="005B218E"/>
    <w:rsid w:val="005B27A0"/>
    <w:rsid w:val="005B2B6A"/>
    <w:rsid w:val="005B2CA1"/>
    <w:rsid w:val="005B4278"/>
    <w:rsid w:val="005B4359"/>
    <w:rsid w:val="005B4B38"/>
    <w:rsid w:val="005B525D"/>
    <w:rsid w:val="005B53AF"/>
    <w:rsid w:val="005B543C"/>
    <w:rsid w:val="005B55FF"/>
    <w:rsid w:val="005B5A42"/>
    <w:rsid w:val="005B5FF3"/>
    <w:rsid w:val="005B65CA"/>
    <w:rsid w:val="005B66C8"/>
    <w:rsid w:val="005B75C1"/>
    <w:rsid w:val="005B7626"/>
    <w:rsid w:val="005B772E"/>
    <w:rsid w:val="005B7857"/>
    <w:rsid w:val="005C01FF"/>
    <w:rsid w:val="005C09DE"/>
    <w:rsid w:val="005C0BF5"/>
    <w:rsid w:val="005C0CB6"/>
    <w:rsid w:val="005C0D89"/>
    <w:rsid w:val="005C1730"/>
    <w:rsid w:val="005C18B9"/>
    <w:rsid w:val="005C19FE"/>
    <w:rsid w:val="005C1A98"/>
    <w:rsid w:val="005C27BA"/>
    <w:rsid w:val="005C3EDC"/>
    <w:rsid w:val="005C4F46"/>
    <w:rsid w:val="005C57C1"/>
    <w:rsid w:val="005C5948"/>
    <w:rsid w:val="005C5E21"/>
    <w:rsid w:val="005C5E9F"/>
    <w:rsid w:val="005C5F2D"/>
    <w:rsid w:val="005C60BF"/>
    <w:rsid w:val="005C6EDD"/>
    <w:rsid w:val="005C7F5C"/>
    <w:rsid w:val="005C7FD1"/>
    <w:rsid w:val="005C7FE1"/>
    <w:rsid w:val="005D02A7"/>
    <w:rsid w:val="005D0852"/>
    <w:rsid w:val="005D09B5"/>
    <w:rsid w:val="005D1545"/>
    <w:rsid w:val="005D1D1E"/>
    <w:rsid w:val="005D269E"/>
    <w:rsid w:val="005D2F59"/>
    <w:rsid w:val="005D3639"/>
    <w:rsid w:val="005D3C3F"/>
    <w:rsid w:val="005D4E5F"/>
    <w:rsid w:val="005D5292"/>
    <w:rsid w:val="005D57DA"/>
    <w:rsid w:val="005D5A6B"/>
    <w:rsid w:val="005D6287"/>
    <w:rsid w:val="005D70D9"/>
    <w:rsid w:val="005D7624"/>
    <w:rsid w:val="005D79C7"/>
    <w:rsid w:val="005D7ABF"/>
    <w:rsid w:val="005E00E9"/>
    <w:rsid w:val="005E022A"/>
    <w:rsid w:val="005E045A"/>
    <w:rsid w:val="005E0460"/>
    <w:rsid w:val="005E08B5"/>
    <w:rsid w:val="005E165F"/>
    <w:rsid w:val="005E1CB4"/>
    <w:rsid w:val="005E1D76"/>
    <w:rsid w:val="005E26E0"/>
    <w:rsid w:val="005E2B1A"/>
    <w:rsid w:val="005E4D9E"/>
    <w:rsid w:val="005E4EA2"/>
    <w:rsid w:val="005E4FF2"/>
    <w:rsid w:val="005E50F9"/>
    <w:rsid w:val="005E6ABE"/>
    <w:rsid w:val="005E700E"/>
    <w:rsid w:val="005E71FB"/>
    <w:rsid w:val="005F0B42"/>
    <w:rsid w:val="005F0ED6"/>
    <w:rsid w:val="005F1716"/>
    <w:rsid w:val="005F1EBE"/>
    <w:rsid w:val="005F27F9"/>
    <w:rsid w:val="005F2F59"/>
    <w:rsid w:val="005F3560"/>
    <w:rsid w:val="005F3906"/>
    <w:rsid w:val="005F3CE6"/>
    <w:rsid w:val="005F40DD"/>
    <w:rsid w:val="005F4102"/>
    <w:rsid w:val="005F423C"/>
    <w:rsid w:val="005F42D3"/>
    <w:rsid w:val="005F4477"/>
    <w:rsid w:val="005F4764"/>
    <w:rsid w:val="005F57DA"/>
    <w:rsid w:val="005F615D"/>
    <w:rsid w:val="005F61CD"/>
    <w:rsid w:val="005F6487"/>
    <w:rsid w:val="005F658A"/>
    <w:rsid w:val="005F6D2E"/>
    <w:rsid w:val="005F7156"/>
    <w:rsid w:val="005F7648"/>
    <w:rsid w:val="005F7CF8"/>
    <w:rsid w:val="006009C1"/>
    <w:rsid w:val="00600AEF"/>
    <w:rsid w:val="00600C3A"/>
    <w:rsid w:val="00601BD1"/>
    <w:rsid w:val="00602156"/>
    <w:rsid w:val="00602791"/>
    <w:rsid w:val="00602A75"/>
    <w:rsid w:val="00602AE1"/>
    <w:rsid w:val="0060317B"/>
    <w:rsid w:val="00603B32"/>
    <w:rsid w:val="00603DD5"/>
    <w:rsid w:val="006044F1"/>
    <w:rsid w:val="0060454A"/>
    <w:rsid w:val="006046A1"/>
    <w:rsid w:val="006052D7"/>
    <w:rsid w:val="0060602B"/>
    <w:rsid w:val="006066F4"/>
    <w:rsid w:val="0060674E"/>
    <w:rsid w:val="00606A44"/>
    <w:rsid w:val="00606ADF"/>
    <w:rsid w:val="00606E17"/>
    <w:rsid w:val="00606E90"/>
    <w:rsid w:val="0060720C"/>
    <w:rsid w:val="00607BC7"/>
    <w:rsid w:val="00607EBB"/>
    <w:rsid w:val="006102EB"/>
    <w:rsid w:val="006109C0"/>
    <w:rsid w:val="00611319"/>
    <w:rsid w:val="00612487"/>
    <w:rsid w:val="006128FA"/>
    <w:rsid w:val="00612B86"/>
    <w:rsid w:val="006133A3"/>
    <w:rsid w:val="00613662"/>
    <w:rsid w:val="0061428F"/>
    <w:rsid w:val="006142FB"/>
    <w:rsid w:val="006150D7"/>
    <w:rsid w:val="006151FC"/>
    <w:rsid w:val="006165F1"/>
    <w:rsid w:val="006168C3"/>
    <w:rsid w:val="00616F57"/>
    <w:rsid w:val="00617070"/>
    <w:rsid w:val="00617D15"/>
    <w:rsid w:val="00617DD5"/>
    <w:rsid w:val="006206C5"/>
    <w:rsid w:val="006209F0"/>
    <w:rsid w:val="00620A7E"/>
    <w:rsid w:val="006214EB"/>
    <w:rsid w:val="00621924"/>
    <w:rsid w:val="00621D91"/>
    <w:rsid w:val="006228E7"/>
    <w:rsid w:val="00622DDE"/>
    <w:rsid w:val="0062356D"/>
    <w:rsid w:val="00623AE2"/>
    <w:rsid w:val="006240C0"/>
    <w:rsid w:val="006241C8"/>
    <w:rsid w:val="00624BA2"/>
    <w:rsid w:val="0062500A"/>
    <w:rsid w:val="00625198"/>
    <w:rsid w:val="006252AD"/>
    <w:rsid w:val="00625981"/>
    <w:rsid w:val="00625E99"/>
    <w:rsid w:val="00626529"/>
    <w:rsid w:val="0062674A"/>
    <w:rsid w:val="006267CC"/>
    <w:rsid w:val="00626884"/>
    <w:rsid w:val="00626CD5"/>
    <w:rsid w:val="00626DB1"/>
    <w:rsid w:val="00626EF5"/>
    <w:rsid w:val="00626FA1"/>
    <w:rsid w:val="00627062"/>
    <w:rsid w:val="006301A2"/>
    <w:rsid w:val="00630836"/>
    <w:rsid w:val="00630EC6"/>
    <w:rsid w:val="00631235"/>
    <w:rsid w:val="00631B8B"/>
    <w:rsid w:val="0063280B"/>
    <w:rsid w:val="00632C04"/>
    <w:rsid w:val="006339AF"/>
    <w:rsid w:val="00633C3D"/>
    <w:rsid w:val="00633C83"/>
    <w:rsid w:val="00633FAD"/>
    <w:rsid w:val="006342A6"/>
    <w:rsid w:val="00634CCF"/>
    <w:rsid w:val="00635B42"/>
    <w:rsid w:val="00635F25"/>
    <w:rsid w:val="00636329"/>
    <w:rsid w:val="00636657"/>
    <w:rsid w:val="0063690C"/>
    <w:rsid w:val="0063714F"/>
    <w:rsid w:val="00637553"/>
    <w:rsid w:val="0063776F"/>
    <w:rsid w:val="006379C2"/>
    <w:rsid w:val="00640485"/>
    <w:rsid w:val="00640980"/>
    <w:rsid w:val="006409F8"/>
    <w:rsid w:val="00640D32"/>
    <w:rsid w:val="0064157D"/>
    <w:rsid w:val="00641D61"/>
    <w:rsid w:val="006427FF"/>
    <w:rsid w:val="00642F66"/>
    <w:rsid w:val="00643735"/>
    <w:rsid w:val="00643E3E"/>
    <w:rsid w:val="00643F15"/>
    <w:rsid w:val="0064430A"/>
    <w:rsid w:val="00644419"/>
    <w:rsid w:val="00644426"/>
    <w:rsid w:val="006447D6"/>
    <w:rsid w:val="006449CD"/>
    <w:rsid w:val="00644CB5"/>
    <w:rsid w:val="0064660F"/>
    <w:rsid w:val="006467B0"/>
    <w:rsid w:val="00647CBB"/>
    <w:rsid w:val="0065098B"/>
    <w:rsid w:val="00650D04"/>
    <w:rsid w:val="00650FA8"/>
    <w:rsid w:val="006511B0"/>
    <w:rsid w:val="00651C4D"/>
    <w:rsid w:val="00651F15"/>
    <w:rsid w:val="00651FB8"/>
    <w:rsid w:val="00652583"/>
    <w:rsid w:val="00652FD2"/>
    <w:rsid w:val="00654AAE"/>
    <w:rsid w:val="00654AAF"/>
    <w:rsid w:val="00654B63"/>
    <w:rsid w:val="00654C22"/>
    <w:rsid w:val="00654F1C"/>
    <w:rsid w:val="0065545F"/>
    <w:rsid w:val="006559B0"/>
    <w:rsid w:val="00655EAB"/>
    <w:rsid w:val="00656F79"/>
    <w:rsid w:val="00656FA5"/>
    <w:rsid w:val="0065732D"/>
    <w:rsid w:val="00657A73"/>
    <w:rsid w:val="00657C24"/>
    <w:rsid w:val="006603CA"/>
    <w:rsid w:val="006606BE"/>
    <w:rsid w:val="0066087F"/>
    <w:rsid w:val="00660E66"/>
    <w:rsid w:val="006620A5"/>
    <w:rsid w:val="006623D4"/>
    <w:rsid w:val="00662BB7"/>
    <w:rsid w:val="00662C58"/>
    <w:rsid w:val="006638A6"/>
    <w:rsid w:val="00663B43"/>
    <w:rsid w:val="00663CC8"/>
    <w:rsid w:val="0066488E"/>
    <w:rsid w:val="006651BA"/>
    <w:rsid w:val="006652FB"/>
    <w:rsid w:val="006657A8"/>
    <w:rsid w:val="006658B0"/>
    <w:rsid w:val="00666306"/>
    <w:rsid w:val="00666315"/>
    <w:rsid w:val="00666C38"/>
    <w:rsid w:val="00666E83"/>
    <w:rsid w:val="0066746C"/>
    <w:rsid w:val="00667941"/>
    <w:rsid w:val="00667AB8"/>
    <w:rsid w:val="0067084A"/>
    <w:rsid w:val="006708BB"/>
    <w:rsid w:val="00670E1E"/>
    <w:rsid w:val="0067130F"/>
    <w:rsid w:val="00671652"/>
    <w:rsid w:val="00671809"/>
    <w:rsid w:val="00671FD9"/>
    <w:rsid w:val="006723D1"/>
    <w:rsid w:val="0067392B"/>
    <w:rsid w:val="00675163"/>
    <w:rsid w:val="006756A9"/>
    <w:rsid w:val="00676E92"/>
    <w:rsid w:val="0067714B"/>
    <w:rsid w:val="006809A9"/>
    <w:rsid w:val="00681B1C"/>
    <w:rsid w:val="006823FE"/>
    <w:rsid w:val="006828BC"/>
    <w:rsid w:val="00682AC1"/>
    <w:rsid w:val="00682F60"/>
    <w:rsid w:val="006830E1"/>
    <w:rsid w:val="0068328B"/>
    <w:rsid w:val="006835C0"/>
    <w:rsid w:val="0068490E"/>
    <w:rsid w:val="00684BB7"/>
    <w:rsid w:val="00684ED7"/>
    <w:rsid w:val="00685893"/>
    <w:rsid w:val="00685A54"/>
    <w:rsid w:val="00685B15"/>
    <w:rsid w:val="00685B23"/>
    <w:rsid w:val="00686397"/>
    <w:rsid w:val="0068733A"/>
    <w:rsid w:val="00691CBE"/>
    <w:rsid w:val="00691F29"/>
    <w:rsid w:val="00692710"/>
    <w:rsid w:val="00692C6D"/>
    <w:rsid w:val="00692D44"/>
    <w:rsid w:val="00693209"/>
    <w:rsid w:val="0069345A"/>
    <w:rsid w:val="0069448A"/>
    <w:rsid w:val="006945CF"/>
    <w:rsid w:val="0069510D"/>
    <w:rsid w:val="0069544B"/>
    <w:rsid w:val="00695BCD"/>
    <w:rsid w:val="0069652C"/>
    <w:rsid w:val="006965B1"/>
    <w:rsid w:val="006A0AB6"/>
    <w:rsid w:val="006A0DDC"/>
    <w:rsid w:val="006A0EC9"/>
    <w:rsid w:val="006A14D0"/>
    <w:rsid w:val="006A17A1"/>
    <w:rsid w:val="006A2080"/>
    <w:rsid w:val="006A2B94"/>
    <w:rsid w:val="006A2D17"/>
    <w:rsid w:val="006A2F91"/>
    <w:rsid w:val="006A35D2"/>
    <w:rsid w:val="006A48FC"/>
    <w:rsid w:val="006A4945"/>
    <w:rsid w:val="006A547A"/>
    <w:rsid w:val="006A57FE"/>
    <w:rsid w:val="006A6330"/>
    <w:rsid w:val="006A7E2F"/>
    <w:rsid w:val="006A7F59"/>
    <w:rsid w:val="006B0206"/>
    <w:rsid w:val="006B0585"/>
    <w:rsid w:val="006B06D2"/>
    <w:rsid w:val="006B0BE5"/>
    <w:rsid w:val="006B0E4B"/>
    <w:rsid w:val="006B13E5"/>
    <w:rsid w:val="006B1E95"/>
    <w:rsid w:val="006B22B3"/>
    <w:rsid w:val="006B26C1"/>
    <w:rsid w:val="006B28B1"/>
    <w:rsid w:val="006B2B33"/>
    <w:rsid w:val="006B340C"/>
    <w:rsid w:val="006B3769"/>
    <w:rsid w:val="006B40AA"/>
    <w:rsid w:val="006B4681"/>
    <w:rsid w:val="006B5055"/>
    <w:rsid w:val="006B54BB"/>
    <w:rsid w:val="006B5F42"/>
    <w:rsid w:val="006B645F"/>
    <w:rsid w:val="006B66AE"/>
    <w:rsid w:val="006B69CC"/>
    <w:rsid w:val="006B76CB"/>
    <w:rsid w:val="006B7931"/>
    <w:rsid w:val="006B7F8E"/>
    <w:rsid w:val="006C01AD"/>
    <w:rsid w:val="006C0780"/>
    <w:rsid w:val="006C0A92"/>
    <w:rsid w:val="006C10BE"/>
    <w:rsid w:val="006C16D1"/>
    <w:rsid w:val="006C1A89"/>
    <w:rsid w:val="006C235B"/>
    <w:rsid w:val="006C3B68"/>
    <w:rsid w:val="006C5002"/>
    <w:rsid w:val="006C6042"/>
    <w:rsid w:val="006C635B"/>
    <w:rsid w:val="006C6E7D"/>
    <w:rsid w:val="006C7506"/>
    <w:rsid w:val="006C795B"/>
    <w:rsid w:val="006D002E"/>
    <w:rsid w:val="006D059C"/>
    <w:rsid w:val="006D0DE5"/>
    <w:rsid w:val="006D15D8"/>
    <w:rsid w:val="006D1608"/>
    <w:rsid w:val="006D1AD4"/>
    <w:rsid w:val="006D1E79"/>
    <w:rsid w:val="006D2101"/>
    <w:rsid w:val="006D278E"/>
    <w:rsid w:val="006D2BA3"/>
    <w:rsid w:val="006D2D57"/>
    <w:rsid w:val="006D3A03"/>
    <w:rsid w:val="006D3E5C"/>
    <w:rsid w:val="006D3FBA"/>
    <w:rsid w:val="006D4F2A"/>
    <w:rsid w:val="006D57B9"/>
    <w:rsid w:val="006D67EA"/>
    <w:rsid w:val="006D6CE7"/>
    <w:rsid w:val="006D74E1"/>
    <w:rsid w:val="006D7B58"/>
    <w:rsid w:val="006E115C"/>
    <w:rsid w:val="006E19D2"/>
    <w:rsid w:val="006E2077"/>
    <w:rsid w:val="006E2725"/>
    <w:rsid w:val="006E2EB4"/>
    <w:rsid w:val="006E395E"/>
    <w:rsid w:val="006E3F3E"/>
    <w:rsid w:val="006E5372"/>
    <w:rsid w:val="006E55B8"/>
    <w:rsid w:val="006E5948"/>
    <w:rsid w:val="006E5FA1"/>
    <w:rsid w:val="006E6632"/>
    <w:rsid w:val="006E684C"/>
    <w:rsid w:val="006E73B0"/>
    <w:rsid w:val="006E7599"/>
    <w:rsid w:val="006E799B"/>
    <w:rsid w:val="006F031D"/>
    <w:rsid w:val="006F07B7"/>
    <w:rsid w:val="006F0866"/>
    <w:rsid w:val="006F0F09"/>
    <w:rsid w:val="006F1408"/>
    <w:rsid w:val="006F140F"/>
    <w:rsid w:val="006F159E"/>
    <w:rsid w:val="006F16E1"/>
    <w:rsid w:val="006F23D7"/>
    <w:rsid w:val="006F24C6"/>
    <w:rsid w:val="006F298D"/>
    <w:rsid w:val="006F3150"/>
    <w:rsid w:val="006F3291"/>
    <w:rsid w:val="006F3443"/>
    <w:rsid w:val="006F36E1"/>
    <w:rsid w:val="006F41D3"/>
    <w:rsid w:val="006F4255"/>
    <w:rsid w:val="006F4C56"/>
    <w:rsid w:val="006F4FB0"/>
    <w:rsid w:val="006F5C0B"/>
    <w:rsid w:val="006F6D40"/>
    <w:rsid w:val="006F6FB7"/>
    <w:rsid w:val="00700040"/>
    <w:rsid w:val="007005A8"/>
    <w:rsid w:val="007005E5"/>
    <w:rsid w:val="00701C75"/>
    <w:rsid w:val="00702428"/>
    <w:rsid w:val="007026EF"/>
    <w:rsid w:val="00702BFA"/>
    <w:rsid w:val="007033C8"/>
    <w:rsid w:val="007038F7"/>
    <w:rsid w:val="00703B35"/>
    <w:rsid w:val="007049A2"/>
    <w:rsid w:val="00704EE8"/>
    <w:rsid w:val="00705042"/>
    <w:rsid w:val="007059F5"/>
    <w:rsid w:val="007067C7"/>
    <w:rsid w:val="00706B99"/>
    <w:rsid w:val="00706D4A"/>
    <w:rsid w:val="00706DF5"/>
    <w:rsid w:val="00707D6B"/>
    <w:rsid w:val="0071054A"/>
    <w:rsid w:val="00710B11"/>
    <w:rsid w:val="00710B19"/>
    <w:rsid w:val="00711115"/>
    <w:rsid w:val="0071126C"/>
    <w:rsid w:val="007117CE"/>
    <w:rsid w:val="007131E9"/>
    <w:rsid w:val="00713600"/>
    <w:rsid w:val="00713A07"/>
    <w:rsid w:val="00713F49"/>
    <w:rsid w:val="0071446F"/>
    <w:rsid w:val="00715718"/>
    <w:rsid w:val="00715EFC"/>
    <w:rsid w:val="007163E5"/>
    <w:rsid w:val="0071644D"/>
    <w:rsid w:val="00716569"/>
    <w:rsid w:val="00716CAF"/>
    <w:rsid w:val="0071742A"/>
    <w:rsid w:val="007176CA"/>
    <w:rsid w:val="00717959"/>
    <w:rsid w:val="0072009F"/>
    <w:rsid w:val="007203A8"/>
    <w:rsid w:val="0072068B"/>
    <w:rsid w:val="0072079B"/>
    <w:rsid w:val="0072087E"/>
    <w:rsid w:val="00721117"/>
    <w:rsid w:val="007214FB"/>
    <w:rsid w:val="007225FE"/>
    <w:rsid w:val="00722A91"/>
    <w:rsid w:val="00722AA8"/>
    <w:rsid w:val="0072324E"/>
    <w:rsid w:val="00723B55"/>
    <w:rsid w:val="00724AB2"/>
    <w:rsid w:val="007253D9"/>
    <w:rsid w:val="007258B8"/>
    <w:rsid w:val="00726A0F"/>
    <w:rsid w:val="00726D66"/>
    <w:rsid w:val="0072701B"/>
    <w:rsid w:val="007275D4"/>
    <w:rsid w:val="007279A1"/>
    <w:rsid w:val="00730AE1"/>
    <w:rsid w:val="0073112E"/>
    <w:rsid w:val="00731732"/>
    <w:rsid w:val="00731E1A"/>
    <w:rsid w:val="00731F27"/>
    <w:rsid w:val="00732C20"/>
    <w:rsid w:val="00733942"/>
    <w:rsid w:val="007339AF"/>
    <w:rsid w:val="00733B09"/>
    <w:rsid w:val="00734D44"/>
    <w:rsid w:val="00734DE4"/>
    <w:rsid w:val="00735AD1"/>
    <w:rsid w:val="00736B16"/>
    <w:rsid w:val="00736F86"/>
    <w:rsid w:val="007401E9"/>
    <w:rsid w:val="007406B5"/>
    <w:rsid w:val="00740792"/>
    <w:rsid w:val="00740BE8"/>
    <w:rsid w:val="00740EFB"/>
    <w:rsid w:val="00740F66"/>
    <w:rsid w:val="0074124C"/>
    <w:rsid w:val="0074173E"/>
    <w:rsid w:val="007418D8"/>
    <w:rsid w:val="0074225D"/>
    <w:rsid w:val="00742273"/>
    <w:rsid w:val="00742429"/>
    <w:rsid w:val="00742606"/>
    <w:rsid w:val="007428D0"/>
    <w:rsid w:val="007429D8"/>
    <w:rsid w:val="00742DC9"/>
    <w:rsid w:val="00743312"/>
    <w:rsid w:val="00743655"/>
    <w:rsid w:val="00743D2B"/>
    <w:rsid w:val="00744168"/>
    <w:rsid w:val="0074458F"/>
    <w:rsid w:val="00744937"/>
    <w:rsid w:val="00745053"/>
    <w:rsid w:val="00746128"/>
    <w:rsid w:val="0074652C"/>
    <w:rsid w:val="0074670F"/>
    <w:rsid w:val="00746E06"/>
    <w:rsid w:val="00746E63"/>
    <w:rsid w:val="00747192"/>
    <w:rsid w:val="00747B94"/>
    <w:rsid w:val="00747C1F"/>
    <w:rsid w:val="00750417"/>
    <w:rsid w:val="00750748"/>
    <w:rsid w:val="00751111"/>
    <w:rsid w:val="00751E10"/>
    <w:rsid w:val="007522EA"/>
    <w:rsid w:val="00752A11"/>
    <w:rsid w:val="00752AE4"/>
    <w:rsid w:val="00752C13"/>
    <w:rsid w:val="00752E8B"/>
    <w:rsid w:val="007533BE"/>
    <w:rsid w:val="007539BF"/>
    <w:rsid w:val="00753BB1"/>
    <w:rsid w:val="00754457"/>
    <w:rsid w:val="00754AB1"/>
    <w:rsid w:val="00754C1E"/>
    <w:rsid w:val="00754C27"/>
    <w:rsid w:val="00755504"/>
    <w:rsid w:val="00755515"/>
    <w:rsid w:val="007557E4"/>
    <w:rsid w:val="00755B38"/>
    <w:rsid w:val="00756E12"/>
    <w:rsid w:val="00757A9C"/>
    <w:rsid w:val="007602E8"/>
    <w:rsid w:val="007607D7"/>
    <w:rsid w:val="00760B3B"/>
    <w:rsid w:val="00760CDA"/>
    <w:rsid w:val="00760CEA"/>
    <w:rsid w:val="007614C5"/>
    <w:rsid w:val="00761C70"/>
    <w:rsid w:val="00761D1F"/>
    <w:rsid w:val="00761DC5"/>
    <w:rsid w:val="00762217"/>
    <w:rsid w:val="00762883"/>
    <w:rsid w:val="00763BD3"/>
    <w:rsid w:val="00764796"/>
    <w:rsid w:val="00764A6B"/>
    <w:rsid w:val="00764DFE"/>
    <w:rsid w:val="0076528B"/>
    <w:rsid w:val="00765640"/>
    <w:rsid w:val="00766605"/>
    <w:rsid w:val="007667D0"/>
    <w:rsid w:val="007671C4"/>
    <w:rsid w:val="00767353"/>
    <w:rsid w:val="00767730"/>
    <w:rsid w:val="00770020"/>
    <w:rsid w:val="0077003A"/>
    <w:rsid w:val="00770582"/>
    <w:rsid w:val="00772196"/>
    <w:rsid w:val="007722F0"/>
    <w:rsid w:val="00772420"/>
    <w:rsid w:val="007725F9"/>
    <w:rsid w:val="00772B1D"/>
    <w:rsid w:val="0077325E"/>
    <w:rsid w:val="0077381C"/>
    <w:rsid w:val="00773B40"/>
    <w:rsid w:val="00773B86"/>
    <w:rsid w:val="00773F98"/>
    <w:rsid w:val="0077425F"/>
    <w:rsid w:val="00774406"/>
    <w:rsid w:val="00774719"/>
    <w:rsid w:val="00774814"/>
    <w:rsid w:val="00774AB1"/>
    <w:rsid w:val="00774DF4"/>
    <w:rsid w:val="00774F9B"/>
    <w:rsid w:val="0077503D"/>
    <w:rsid w:val="007756C9"/>
    <w:rsid w:val="00775BC9"/>
    <w:rsid w:val="00777AF5"/>
    <w:rsid w:val="00777CB6"/>
    <w:rsid w:val="00780BB4"/>
    <w:rsid w:val="0078145E"/>
    <w:rsid w:val="00781D98"/>
    <w:rsid w:val="00781FF0"/>
    <w:rsid w:val="007820CF"/>
    <w:rsid w:val="00782B77"/>
    <w:rsid w:val="00782C68"/>
    <w:rsid w:val="00783BCB"/>
    <w:rsid w:val="00783CAC"/>
    <w:rsid w:val="0078402E"/>
    <w:rsid w:val="00784125"/>
    <w:rsid w:val="007847E8"/>
    <w:rsid w:val="00784D61"/>
    <w:rsid w:val="00784EBA"/>
    <w:rsid w:val="00784FEE"/>
    <w:rsid w:val="00785213"/>
    <w:rsid w:val="00785318"/>
    <w:rsid w:val="007854A5"/>
    <w:rsid w:val="007860E3"/>
    <w:rsid w:val="00786827"/>
    <w:rsid w:val="0078686E"/>
    <w:rsid w:val="00787090"/>
    <w:rsid w:val="00787699"/>
    <w:rsid w:val="00787E24"/>
    <w:rsid w:val="00790274"/>
    <w:rsid w:val="007908B2"/>
    <w:rsid w:val="00790A05"/>
    <w:rsid w:val="00791C47"/>
    <w:rsid w:val="00791C50"/>
    <w:rsid w:val="00792566"/>
    <w:rsid w:val="00792ACF"/>
    <w:rsid w:val="00794545"/>
    <w:rsid w:val="00794964"/>
    <w:rsid w:val="007953FB"/>
    <w:rsid w:val="0079575D"/>
    <w:rsid w:val="00796587"/>
    <w:rsid w:val="007965A9"/>
    <w:rsid w:val="007967BE"/>
    <w:rsid w:val="00797250"/>
    <w:rsid w:val="00797507"/>
    <w:rsid w:val="007A0748"/>
    <w:rsid w:val="007A2ADC"/>
    <w:rsid w:val="007A3665"/>
    <w:rsid w:val="007A37C5"/>
    <w:rsid w:val="007A3AB9"/>
    <w:rsid w:val="007A3BA8"/>
    <w:rsid w:val="007A438D"/>
    <w:rsid w:val="007A449C"/>
    <w:rsid w:val="007A48B0"/>
    <w:rsid w:val="007A4C87"/>
    <w:rsid w:val="007A54BD"/>
    <w:rsid w:val="007A5576"/>
    <w:rsid w:val="007A5C81"/>
    <w:rsid w:val="007A6824"/>
    <w:rsid w:val="007A75C8"/>
    <w:rsid w:val="007B00F4"/>
    <w:rsid w:val="007B038C"/>
    <w:rsid w:val="007B05A1"/>
    <w:rsid w:val="007B14A2"/>
    <w:rsid w:val="007B1D8D"/>
    <w:rsid w:val="007B1FE6"/>
    <w:rsid w:val="007B2392"/>
    <w:rsid w:val="007B2403"/>
    <w:rsid w:val="007B27F6"/>
    <w:rsid w:val="007B3BF4"/>
    <w:rsid w:val="007B46B7"/>
    <w:rsid w:val="007B4971"/>
    <w:rsid w:val="007B5180"/>
    <w:rsid w:val="007B59E6"/>
    <w:rsid w:val="007B664B"/>
    <w:rsid w:val="007B729A"/>
    <w:rsid w:val="007B738E"/>
    <w:rsid w:val="007B7D8B"/>
    <w:rsid w:val="007C0232"/>
    <w:rsid w:val="007C0AFD"/>
    <w:rsid w:val="007C1493"/>
    <w:rsid w:val="007C15D3"/>
    <w:rsid w:val="007C16D9"/>
    <w:rsid w:val="007C16EB"/>
    <w:rsid w:val="007C1A53"/>
    <w:rsid w:val="007C1AB0"/>
    <w:rsid w:val="007C1CCE"/>
    <w:rsid w:val="007C1E4C"/>
    <w:rsid w:val="007C1F0B"/>
    <w:rsid w:val="007C2989"/>
    <w:rsid w:val="007C2B3D"/>
    <w:rsid w:val="007C312B"/>
    <w:rsid w:val="007C3E7C"/>
    <w:rsid w:val="007C4200"/>
    <w:rsid w:val="007C43CA"/>
    <w:rsid w:val="007C4787"/>
    <w:rsid w:val="007C48AD"/>
    <w:rsid w:val="007C4AED"/>
    <w:rsid w:val="007C4D27"/>
    <w:rsid w:val="007C4E1F"/>
    <w:rsid w:val="007C54B3"/>
    <w:rsid w:val="007C5D87"/>
    <w:rsid w:val="007C5FA2"/>
    <w:rsid w:val="007C6858"/>
    <w:rsid w:val="007C6910"/>
    <w:rsid w:val="007C6F05"/>
    <w:rsid w:val="007C75D0"/>
    <w:rsid w:val="007C7701"/>
    <w:rsid w:val="007C795F"/>
    <w:rsid w:val="007D036E"/>
    <w:rsid w:val="007D03EE"/>
    <w:rsid w:val="007D0DBE"/>
    <w:rsid w:val="007D1824"/>
    <w:rsid w:val="007D1880"/>
    <w:rsid w:val="007D18FE"/>
    <w:rsid w:val="007D1A73"/>
    <w:rsid w:val="007D1CAE"/>
    <w:rsid w:val="007D23E9"/>
    <w:rsid w:val="007D2976"/>
    <w:rsid w:val="007D332B"/>
    <w:rsid w:val="007D381D"/>
    <w:rsid w:val="007D3922"/>
    <w:rsid w:val="007D3A94"/>
    <w:rsid w:val="007D3EB3"/>
    <w:rsid w:val="007D41CA"/>
    <w:rsid w:val="007D430C"/>
    <w:rsid w:val="007D5C54"/>
    <w:rsid w:val="007D6092"/>
    <w:rsid w:val="007D6459"/>
    <w:rsid w:val="007D6797"/>
    <w:rsid w:val="007D690C"/>
    <w:rsid w:val="007D6E32"/>
    <w:rsid w:val="007D7651"/>
    <w:rsid w:val="007D77DB"/>
    <w:rsid w:val="007D7BEB"/>
    <w:rsid w:val="007D7C18"/>
    <w:rsid w:val="007E0221"/>
    <w:rsid w:val="007E0922"/>
    <w:rsid w:val="007E134C"/>
    <w:rsid w:val="007E1FA2"/>
    <w:rsid w:val="007E2302"/>
    <w:rsid w:val="007E2796"/>
    <w:rsid w:val="007E2BCB"/>
    <w:rsid w:val="007E3279"/>
    <w:rsid w:val="007E3354"/>
    <w:rsid w:val="007E342C"/>
    <w:rsid w:val="007E34DE"/>
    <w:rsid w:val="007E36F5"/>
    <w:rsid w:val="007E4672"/>
    <w:rsid w:val="007E470A"/>
    <w:rsid w:val="007E4AFB"/>
    <w:rsid w:val="007E4B8C"/>
    <w:rsid w:val="007E541E"/>
    <w:rsid w:val="007E67AE"/>
    <w:rsid w:val="007E6C92"/>
    <w:rsid w:val="007E6EE5"/>
    <w:rsid w:val="007E6F01"/>
    <w:rsid w:val="007E7F7B"/>
    <w:rsid w:val="007F0A08"/>
    <w:rsid w:val="007F0FAA"/>
    <w:rsid w:val="007F2662"/>
    <w:rsid w:val="007F2E26"/>
    <w:rsid w:val="007F31C8"/>
    <w:rsid w:val="007F33BF"/>
    <w:rsid w:val="007F3483"/>
    <w:rsid w:val="007F3775"/>
    <w:rsid w:val="007F3CBC"/>
    <w:rsid w:val="007F3D00"/>
    <w:rsid w:val="007F3F7D"/>
    <w:rsid w:val="007F4367"/>
    <w:rsid w:val="007F44C9"/>
    <w:rsid w:val="007F4B73"/>
    <w:rsid w:val="007F4CEE"/>
    <w:rsid w:val="007F4D4B"/>
    <w:rsid w:val="007F50B6"/>
    <w:rsid w:val="007F5B6C"/>
    <w:rsid w:val="007F5C35"/>
    <w:rsid w:val="007F6205"/>
    <w:rsid w:val="007F638E"/>
    <w:rsid w:val="007F6547"/>
    <w:rsid w:val="007F699D"/>
    <w:rsid w:val="007F6CA2"/>
    <w:rsid w:val="007F70DC"/>
    <w:rsid w:val="007F76EF"/>
    <w:rsid w:val="007F79E7"/>
    <w:rsid w:val="007F7D52"/>
    <w:rsid w:val="007F7F40"/>
    <w:rsid w:val="00800F0A"/>
    <w:rsid w:val="0080172D"/>
    <w:rsid w:val="00801791"/>
    <w:rsid w:val="00801A08"/>
    <w:rsid w:val="008026B7"/>
    <w:rsid w:val="00802F8E"/>
    <w:rsid w:val="0080311A"/>
    <w:rsid w:val="008031AC"/>
    <w:rsid w:val="00803B35"/>
    <w:rsid w:val="00803FF3"/>
    <w:rsid w:val="008040C2"/>
    <w:rsid w:val="008040EF"/>
    <w:rsid w:val="00804B2E"/>
    <w:rsid w:val="00804FD3"/>
    <w:rsid w:val="008053F8"/>
    <w:rsid w:val="008056F3"/>
    <w:rsid w:val="00805F7A"/>
    <w:rsid w:val="00807808"/>
    <w:rsid w:val="00807A9B"/>
    <w:rsid w:val="008107FD"/>
    <w:rsid w:val="00810EAD"/>
    <w:rsid w:val="008117D0"/>
    <w:rsid w:val="00811BBA"/>
    <w:rsid w:val="00811C4E"/>
    <w:rsid w:val="00811E5D"/>
    <w:rsid w:val="008120BF"/>
    <w:rsid w:val="008121D5"/>
    <w:rsid w:val="0081222F"/>
    <w:rsid w:val="00812DB3"/>
    <w:rsid w:val="00812F4B"/>
    <w:rsid w:val="00813A33"/>
    <w:rsid w:val="00813AD5"/>
    <w:rsid w:val="00813F4C"/>
    <w:rsid w:val="00814051"/>
    <w:rsid w:val="008147D5"/>
    <w:rsid w:val="00814CC2"/>
    <w:rsid w:val="00814FEC"/>
    <w:rsid w:val="0081549F"/>
    <w:rsid w:val="0081581C"/>
    <w:rsid w:val="00815B14"/>
    <w:rsid w:val="00815B70"/>
    <w:rsid w:val="00815C92"/>
    <w:rsid w:val="00815EA6"/>
    <w:rsid w:val="0081652D"/>
    <w:rsid w:val="00816725"/>
    <w:rsid w:val="008201CF"/>
    <w:rsid w:val="008207F3"/>
    <w:rsid w:val="00820836"/>
    <w:rsid w:val="00821049"/>
    <w:rsid w:val="008218D0"/>
    <w:rsid w:val="00821E44"/>
    <w:rsid w:val="00821EC1"/>
    <w:rsid w:val="00822591"/>
    <w:rsid w:val="008226E5"/>
    <w:rsid w:val="00822AF0"/>
    <w:rsid w:val="00823253"/>
    <w:rsid w:val="00823A51"/>
    <w:rsid w:val="00824025"/>
    <w:rsid w:val="0082428A"/>
    <w:rsid w:val="008243FA"/>
    <w:rsid w:val="0082461E"/>
    <w:rsid w:val="00825516"/>
    <w:rsid w:val="00826945"/>
    <w:rsid w:val="00826E49"/>
    <w:rsid w:val="00827C10"/>
    <w:rsid w:val="00830A19"/>
    <w:rsid w:val="00831200"/>
    <w:rsid w:val="00831C2C"/>
    <w:rsid w:val="00831EAC"/>
    <w:rsid w:val="00832BF9"/>
    <w:rsid w:val="00832C13"/>
    <w:rsid w:val="0083374E"/>
    <w:rsid w:val="008339CD"/>
    <w:rsid w:val="00833B27"/>
    <w:rsid w:val="00833BC0"/>
    <w:rsid w:val="00834243"/>
    <w:rsid w:val="008342ED"/>
    <w:rsid w:val="00835842"/>
    <w:rsid w:val="00835B63"/>
    <w:rsid w:val="00835BC4"/>
    <w:rsid w:val="008362AE"/>
    <w:rsid w:val="00836938"/>
    <w:rsid w:val="00836E80"/>
    <w:rsid w:val="00836F1A"/>
    <w:rsid w:val="00837579"/>
    <w:rsid w:val="00840C07"/>
    <w:rsid w:val="00841002"/>
    <w:rsid w:val="00841B50"/>
    <w:rsid w:val="008420D8"/>
    <w:rsid w:val="00842AB4"/>
    <w:rsid w:val="00843123"/>
    <w:rsid w:val="00844065"/>
    <w:rsid w:val="00844DC2"/>
    <w:rsid w:val="008453D0"/>
    <w:rsid w:val="008454B0"/>
    <w:rsid w:val="00845551"/>
    <w:rsid w:val="00845C9E"/>
    <w:rsid w:val="00845DA8"/>
    <w:rsid w:val="00846093"/>
    <w:rsid w:val="008466A9"/>
    <w:rsid w:val="0084693B"/>
    <w:rsid w:val="00846F21"/>
    <w:rsid w:val="00846F9B"/>
    <w:rsid w:val="008473C1"/>
    <w:rsid w:val="00850029"/>
    <w:rsid w:val="008500EA"/>
    <w:rsid w:val="00850CC2"/>
    <w:rsid w:val="00850FD2"/>
    <w:rsid w:val="0085132E"/>
    <w:rsid w:val="00851C57"/>
    <w:rsid w:val="00851C77"/>
    <w:rsid w:val="00853001"/>
    <w:rsid w:val="00853623"/>
    <w:rsid w:val="00854552"/>
    <w:rsid w:val="00854AB8"/>
    <w:rsid w:val="00854B41"/>
    <w:rsid w:val="00856630"/>
    <w:rsid w:val="00856F31"/>
    <w:rsid w:val="0085710B"/>
    <w:rsid w:val="00857395"/>
    <w:rsid w:val="00857927"/>
    <w:rsid w:val="00857DEC"/>
    <w:rsid w:val="00860495"/>
    <w:rsid w:val="008607C6"/>
    <w:rsid w:val="0086099E"/>
    <w:rsid w:val="00860FE9"/>
    <w:rsid w:val="00861207"/>
    <w:rsid w:val="00861777"/>
    <w:rsid w:val="0086184E"/>
    <w:rsid w:val="00861A2D"/>
    <w:rsid w:val="00861B0A"/>
    <w:rsid w:val="00862207"/>
    <w:rsid w:val="008626C6"/>
    <w:rsid w:val="00862B71"/>
    <w:rsid w:val="00862D0F"/>
    <w:rsid w:val="00863051"/>
    <w:rsid w:val="008630E0"/>
    <w:rsid w:val="00864213"/>
    <w:rsid w:val="00865652"/>
    <w:rsid w:val="00865B5B"/>
    <w:rsid w:val="00865D4F"/>
    <w:rsid w:val="00866842"/>
    <w:rsid w:val="00866928"/>
    <w:rsid w:val="00866E95"/>
    <w:rsid w:val="008673B4"/>
    <w:rsid w:val="00867871"/>
    <w:rsid w:val="00867E7B"/>
    <w:rsid w:val="008701BE"/>
    <w:rsid w:val="008708F0"/>
    <w:rsid w:val="008711FB"/>
    <w:rsid w:val="00871213"/>
    <w:rsid w:val="0087133B"/>
    <w:rsid w:val="00871570"/>
    <w:rsid w:val="008716F7"/>
    <w:rsid w:val="0087199F"/>
    <w:rsid w:val="00871FB3"/>
    <w:rsid w:val="00872DA9"/>
    <w:rsid w:val="00872DAE"/>
    <w:rsid w:val="00872ED9"/>
    <w:rsid w:val="00873BED"/>
    <w:rsid w:val="00873CBF"/>
    <w:rsid w:val="00873F72"/>
    <w:rsid w:val="008741EE"/>
    <w:rsid w:val="008743CA"/>
    <w:rsid w:val="00874450"/>
    <w:rsid w:val="00874F47"/>
    <w:rsid w:val="00874F54"/>
    <w:rsid w:val="00875033"/>
    <w:rsid w:val="00875562"/>
    <w:rsid w:val="008755CE"/>
    <w:rsid w:val="00876186"/>
    <w:rsid w:val="008764AD"/>
    <w:rsid w:val="00876E0E"/>
    <w:rsid w:val="00876E39"/>
    <w:rsid w:val="0087746B"/>
    <w:rsid w:val="0087747F"/>
    <w:rsid w:val="00877D1E"/>
    <w:rsid w:val="00880071"/>
    <w:rsid w:val="008804B0"/>
    <w:rsid w:val="00880DC4"/>
    <w:rsid w:val="00880F27"/>
    <w:rsid w:val="00881557"/>
    <w:rsid w:val="00881AC2"/>
    <w:rsid w:val="008825F0"/>
    <w:rsid w:val="00883697"/>
    <w:rsid w:val="00883CC0"/>
    <w:rsid w:val="00883DBB"/>
    <w:rsid w:val="00883F5A"/>
    <w:rsid w:val="00884304"/>
    <w:rsid w:val="00884574"/>
    <w:rsid w:val="00884A14"/>
    <w:rsid w:val="008854BE"/>
    <w:rsid w:val="008858C8"/>
    <w:rsid w:val="00886291"/>
    <w:rsid w:val="008866C0"/>
    <w:rsid w:val="008866EC"/>
    <w:rsid w:val="008869B8"/>
    <w:rsid w:val="008871EB"/>
    <w:rsid w:val="008873CD"/>
    <w:rsid w:val="00887455"/>
    <w:rsid w:val="0088777C"/>
    <w:rsid w:val="008878DE"/>
    <w:rsid w:val="008879F9"/>
    <w:rsid w:val="00887AB9"/>
    <w:rsid w:val="00887B36"/>
    <w:rsid w:val="00887EB2"/>
    <w:rsid w:val="00890A4B"/>
    <w:rsid w:val="00891213"/>
    <w:rsid w:val="00892695"/>
    <w:rsid w:val="00892960"/>
    <w:rsid w:val="00892CDB"/>
    <w:rsid w:val="00893663"/>
    <w:rsid w:val="008941E8"/>
    <w:rsid w:val="008944F8"/>
    <w:rsid w:val="008945D3"/>
    <w:rsid w:val="00894707"/>
    <w:rsid w:val="00894B66"/>
    <w:rsid w:val="00894C11"/>
    <w:rsid w:val="00894D48"/>
    <w:rsid w:val="00894E5D"/>
    <w:rsid w:val="00895185"/>
    <w:rsid w:val="00895F2E"/>
    <w:rsid w:val="008965FA"/>
    <w:rsid w:val="008969A2"/>
    <w:rsid w:val="00896C58"/>
    <w:rsid w:val="00897256"/>
    <w:rsid w:val="00897810"/>
    <w:rsid w:val="008A047F"/>
    <w:rsid w:val="008A0589"/>
    <w:rsid w:val="008A0724"/>
    <w:rsid w:val="008A0731"/>
    <w:rsid w:val="008A0C2D"/>
    <w:rsid w:val="008A1D75"/>
    <w:rsid w:val="008A23BB"/>
    <w:rsid w:val="008A2A1B"/>
    <w:rsid w:val="008A2C25"/>
    <w:rsid w:val="008A2F8D"/>
    <w:rsid w:val="008A33DF"/>
    <w:rsid w:val="008A4F3B"/>
    <w:rsid w:val="008A6200"/>
    <w:rsid w:val="008A6264"/>
    <w:rsid w:val="008A6337"/>
    <w:rsid w:val="008A6601"/>
    <w:rsid w:val="008A6CE7"/>
    <w:rsid w:val="008B09A3"/>
    <w:rsid w:val="008B10BC"/>
    <w:rsid w:val="008B12B8"/>
    <w:rsid w:val="008B2222"/>
    <w:rsid w:val="008B227B"/>
    <w:rsid w:val="008B4207"/>
    <w:rsid w:val="008B4360"/>
    <w:rsid w:val="008B4948"/>
    <w:rsid w:val="008B4F4D"/>
    <w:rsid w:val="008B559F"/>
    <w:rsid w:val="008B5F36"/>
    <w:rsid w:val="008B6386"/>
    <w:rsid w:val="008B6548"/>
    <w:rsid w:val="008B70E2"/>
    <w:rsid w:val="008B71D6"/>
    <w:rsid w:val="008B7304"/>
    <w:rsid w:val="008B75E8"/>
    <w:rsid w:val="008B7C42"/>
    <w:rsid w:val="008B7E3F"/>
    <w:rsid w:val="008C051D"/>
    <w:rsid w:val="008C0D13"/>
    <w:rsid w:val="008C18D8"/>
    <w:rsid w:val="008C2B7A"/>
    <w:rsid w:val="008C2BF4"/>
    <w:rsid w:val="008C2E79"/>
    <w:rsid w:val="008C3D1C"/>
    <w:rsid w:val="008C4235"/>
    <w:rsid w:val="008C4451"/>
    <w:rsid w:val="008C525B"/>
    <w:rsid w:val="008C552C"/>
    <w:rsid w:val="008C5B3C"/>
    <w:rsid w:val="008C5C93"/>
    <w:rsid w:val="008C5D96"/>
    <w:rsid w:val="008C60A8"/>
    <w:rsid w:val="008C634D"/>
    <w:rsid w:val="008C6AEB"/>
    <w:rsid w:val="008C785C"/>
    <w:rsid w:val="008C799E"/>
    <w:rsid w:val="008C7B34"/>
    <w:rsid w:val="008D0262"/>
    <w:rsid w:val="008D0BE1"/>
    <w:rsid w:val="008D114D"/>
    <w:rsid w:val="008D1238"/>
    <w:rsid w:val="008D1FE1"/>
    <w:rsid w:val="008D20A8"/>
    <w:rsid w:val="008D212E"/>
    <w:rsid w:val="008D2313"/>
    <w:rsid w:val="008D38C0"/>
    <w:rsid w:val="008D3CF9"/>
    <w:rsid w:val="008D3E38"/>
    <w:rsid w:val="008D3F11"/>
    <w:rsid w:val="008D4447"/>
    <w:rsid w:val="008D4DD5"/>
    <w:rsid w:val="008D555B"/>
    <w:rsid w:val="008D5854"/>
    <w:rsid w:val="008D5C63"/>
    <w:rsid w:val="008D6C40"/>
    <w:rsid w:val="008E0555"/>
    <w:rsid w:val="008E066A"/>
    <w:rsid w:val="008E083E"/>
    <w:rsid w:val="008E16E1"/>
    <w:rsid w:val="008E260F"/>
    <w:rsid w:val="008E3767"/>
    <w:rsid w:val="008E3945"/>
    <w:rsid w:val="008E3951"/>
    <w:rsid w:val="008E3CF6"/>
    <w:rsid w:val="008E3E6A"/>
    <w:rsid w:val="008E4198"/>
    <w:rsid w:val="008E4D5F"/>
    <w:rsid w:val="008E5863"/>
    <w:rsid w:val="008E5A35"/>
    <w:rsid w:val="008E6C49"/>
    <w:rsid w:val="008E6E98"/>
    <w:rsid w:val="008E6EF2"/>
    <w:rsid w:val="008E7521"/>
    <w:rsid w:val="008E7D38"/>
    <w:rsid w:val="008E7DEE"/>
    <w:rsid w:val="008F0255"/>
    <w:rsid w:val="008F0559"/>
    <w:rsid w:val="008F086B"/>
    <w:rsid w:val="008F0AF3"/>
    <w:rsid w:val="008F14CE"/>
    <w:rsid w:val="008F1555"/>
    <w:rsid w:val="008F1A26"/>
    <w:rsid w:val="008F1A90"/>
    <w:rsid w:val="008F1FA1"/>
    <w:rsid w:val="008F2051"/>
    <w:rsid w:val="008F2119"/>
    <w:rsid w:val="008F2193"/>
    <w:rsid w:val="008F2269"/>
    <w:rsid w:val="008F4846"/>
    <w:rsid w:val="008F49B0"/>
    <w:rsid w:val="008F49BA"/>
    <w:rsid w:val="008F4C22"/>
    <w:rsid w:val="008F4E93"/>
    <w:rsid w:val="008F5899"/>
    <w:rsid w:val="008F6465"/>
    <w:rsid w:val="008F67E8"/>
    <w:rsid w:val="008F6834"/>
    <w:rsid w:val="008F7AC0"/>
    <w:rsid w:val="00900031"/>
    <w:rsid w:val="00900388"/>
    <w:rsid w:val="00900F6D"/>
    <w:rsid w:val="009012C9"/>
    <w:rsid w:val="009015E4"/>
    <w:rsid w:val="00901B41"/>
    <w:rsid w:val="00901B74"/>
    <w:rsid w:val="00901C57"/>
    <w:rsid w:val="00902469"/>
    <w:rsid w:val="0090280A"/>
    <w:rsid w:val="00902C76"/>
    <w:rsid w:val="00902EB2"/>
    <w:rsid w:val="009030F1"/>
    <w:rsid w:val="0090323B"/>
    <w:rsid w:val="0090556F"/>
    <w:rsid w:val="009056EA"/>
    <w:rsid w:val="00905A5F"/>
    <w:rsid w:val="00905C79"/>
    <w:rsid w:val="0090680B"/>
    <w:rsid w:val="00906F11"/>
    <w:rsid w:val="00907B9D"/>
    <w:rsid w:val="009100B6"/>
    <w:rsid w:val="009101E0"/>
    <w:rsid w:val="00910B02"/>
    <w:rsid w:val="00910F98"/>
    <w:rsid w:val="00911170"/>
    <w:rsid w:val="00911E43"/>
    <w:rsid w:val="009123F6"/>
    <w:rsid w:val="0091290E"/>
    <w:rsid w:val="00912990"/>
    <w:rsid w:val="00912CD1"/>
    <w:rsid w:val="0091324D"/>
    <w:rsid w:val="00913362"/>
    <w:rsid w:val="00913AA7"/>
    <w:rsid w:val="00913CFF"/>
    <w:rsid w:val="009140F3"/>
    <w:rsid w:val="00914672"/>
    <w:rsid w:val="0091486F"/>
    <w:rsid w:val="00914A6D"/>
    <w:rsid w:val="00914A7D"/>
    <w:rsid w:val="009154BD"/>
    <w:rsid w:val="00915954"/>
    <w:rsid w:val="00915B48"/>
    <w:rsid w:val="009166FD"/>
    <w:rsid w:val="009169F7"/>
    <w:rsid w:val="00917185"/>
    <w:rsid w:val="00920290"/>
    <w:rsid w:val="0092068E"/>
    <w:rsid w:val="0092084B"/>
    <w:rsid w:val="00921411"/>
    <w:rsid w:val="00921E5D"/>
    <w:rsid w:val="00922211"/>
    <w:rsid w:val="00922509"/>
    <w:rsid w:val="00922B1B"/>
    <w:rsid w:val="00922FAC"/>
    <w:rsid w:val="00923030"/>
    <w:rsid w:val="00923393"/>
    <w:rsid w:val="009233EE"/>
    <w:rsid w:val="009239AA"/>
    <w:rsid w:val="00923B17"/>
    <w:rsid w:val="00923F7F"/>
    <w:rsid w:val="00924242"/>
    <w:rsid w:val="0092483E"/>
    <w:rsid w:val="00924B4E"/>
    <w:rsid w:val="00925129"/>
    <w:rsid w:val="00925547"/>
    <w:rsid w:val="009256FA"/>
    <w:rsid w:val="0092599A"/>
    <w:rsid w:val="00925AE7"/>
    <w:rsid w:val="00925B13"/>
    <w:rsid w:val="009260E2"/>
    <w:rsid w:val="00926C34"/>
    <w:rsid w:val="00927171"/>
    <w:rsid w:val="0092780C"/>
    <w:rsid w:val="0093082E"/>
    <w:rsid w:val="009319BD"/>
    <w:rsid w:val="009321D4"/>
    <w:rsid w:val="00932A66"/>
    <w:rsid w:val="0093325F"/>
    <w:rsid w:val="00933682"/>
    <w:rsid w:val="00933A7E"/>
    <w:rsid w:val="00934641"/>
    <w:rsid w:val="00934DE8"/>
    <w:rsid w:val="00935501"/>
    <w:rsid w:val="0093566F"/>
    <w:rsid w:val="0093577F"/>
    <w:rsid w:val="0093596D"/>
    <w:rsid w:val="00935B70"/>
    <w:rsid w:val="00936487"/>
    <w:rsid w:val="00936660"/>
    <w:rsid w:val="0093675E"/>
    <w:rsid w:val="0093723E"/>
    <w:rsid w:val="009372A3"/>
    <w:rsid w:val="0093773B"/>
    <w:rsid w:val="00937B21"/>
    <w:rsid w:val="00940247"/>
    <w:rsid w:val="009408B0"/>
    <w:rsid w:val="00940A2B"/>
    <w:rsid w:val="009416AA"/>
    <w:rsid w:val="009417EB"/>
    <w:rsid w:val="00941997"/>
    <w:rsid w:val="00942002"/>
    <w:rsid w:val="00942AC2"/>
    <w:rsid w:val="00942BDA"/>
    <w:rsid w:val="00942FB1"/>
    <w:rsid w:val="009430C1"/>
    <w:rsid w:val="009432EC"/>
    <w:rsid w:val="009441CF"/>
    <w:rsid w:val="00944246"/>
    <w:rsid w:val="00944323"/>
    <w:rsid w:val="00944445"/>
    <w:rsid w:val="009452DE"/>
    <w:rsid w:val="00945BB4"/>
    <w:rsid w:val="00945D75"/>
    <w:rsid w:val="00945DB9"/>
    <w:rsid w:val="009462BA"/>
    <w:rsid w:val="00946497"/>
    <w:rsid w:val="00947072"/>
    <w:rsid w:val="0094770F"/>
    <w:rsid w:val="00947FE6"/>
    <w:rsid w:val="00950041"/>
    <w:rsid w:val="009500CC"/>
    <w:rsid w:val="009507DF"/>
    <w:rsid w:val="00951437"/>
    <w:rsid w:val="009519DA"/>
    <w:rsid w:val="00952AB2"/>
    <w:rsid w:val="00952DFD"/>
    <w:rsid w:val="009534AC"/>
    <w:rsid w:val="00954367"/>
    <w:rsid w:val="0095553C"/>
    <w:rsid w:val="00955EFB"/>
    <w:rsid w:val="009565D4"/>
    <w:rsid w:val="009571B7"/>
    <w:rsid w:val="00957A91"/>
    <w:rsid w:val="009607FB"/>
    <w:rsid w:val="0096099B"/>
    <w:rsid w:val="009612EE"/>
    <w:rsid w:val="00961307"/>
    <w:rsid w:val="00962A24"/>
    <w:rsid w:val="00963103"/>
    <w:rsid w:val="00963876"/>
    <w:rsid w:val="00964838"/>
    <w:rsid w:val="00964E9E"/>
    <w:rsid w:val="00964ECB"/>
    <w:rsid w:val="00964F3F"/>
    <w:rsid w:val="0096502B"/>
    <w:rsid w:val="009657AC"/>
    <w:rsid w:val="009659AF"/>
    <w:rsid w:val="00965FEB"/>
    <w:rsid w:val="0096637B"/>
    <w:rsid w:val="009664F7"/>
    <w:rsid w:val="00967D04"/>
    <w:rsid w:val="009704E9"/>
    <w:rsid w:val="00970AC5"/>
    <w:rsid w:val="0097188A"/>
    <w:rsid w:val="00971B31"/>
    <w:rsid w:val="009724DA"/>
    <w:rsid w:val="00972F77"/>
    <w:rsid w:val="0097344D"/>
    <w:rsid w:val="009735B6"/>
    <w:rsid w:val="00973918"/>
    <w:rsid w:val="00973B00"/>
    <w:rsid w:val="00974294"/>
    <w:rsid w:val="009744CD"/>
    <w:rsid w:val="00974A1F"/>
    <w:rsid w:val="00975787"/>
    <w:rsid w:val="009757FA"/>
    <w:rsid w:val="00975A50"/>
    <w:rsid w:val="00975E20"/>
    <w:rsid w:val="00975E65"/>
    <w:rsid w:val="00975F17"/>
    <w:rsid w:val="0097607D"/>
    <w:rsid w:val="00976768"/>
    <w:rsid w:val="009770A7"/>
    <w:rsid w:val="00977668"/>
    <w:rsid w:val="00980B71"/>
    <w:rsid w:val="00981489"/>
    <w:rsid w:val="00981A44"/>
    <w:rsid w:val="00981B54"/>
    <w:rsid w:val="00981B57"/>
    <w:rsid w:val="00981B8D"/>
    <w:rsid w:val="0098268E"/>
    <w:rsid w:val="00982B66"/>
    <w:rsid w:val="009831AB"/>
    <w:rsid w:val="0098330B"/>
    <w:rsid w:val="00983CDB"/>
    <w:rsid w:val="009840FA"/>
    <w:rsid w:val="00984E2A"/>
    <w:rsid w:val="00985186"/>
    <w:rsid w:val="00985778"/>
    <w:rsid w:val="00985910"/>
    <w:rsid w:val="0098599D"/>
    <w:rsid w:val="00985F70"/>
    <w:rsid w:val="009861E8"/>
    <w:rsid w:val="00986622"/>
    <w:rsid w:val="00986A37"/>
    <w:rsid w:val="009871C1"/>
    <w:rsid w:val="0098750F"/>
    <w:rsid w:val="00987556"/>
    <w:rsid w:val="009875F5"/>
    <w:rsid w:val="00990894"/>
    <w:rsid w:val="00990A9C"/>
    <w:rsid w:val="00990B1A"/>
    <w:rsid w:val="00990E80"/>
    <w:rsid w:val="009912BC"/>
    <w:rsid w:val="00991579"/>
    <w:rsid w:val="0099190D"/>
    <w:rsid w:val="00992325"/>
    <w:rsid w:val="0099273F"/>
    <w:rsid w:val="0099287E"/>
    <w:rsid w:val="009928D0"/>
    <w:rsid w:val="0099339B"/>
    <w:rsid w:val="00993528"/>
    <w:rsid w:val="0099386C"/>
    <w:rsid w:val="00993BFC"/>
    <w:rsid w:val="009947E7"/>
    <w:rsid w:val="00994C53"/>
    <w:rsid w:val="00994FFB"/>
    <w:rsid w:val="009952A6"/>
    <w:rsid w:val="00995332"/>
    <w:rsid w:val="00995723"/>
    <w:rsid w:val="0099574F"/>
    <w:rsid w:val="00995D32"/>
    <w:rsid w:val="00995EEA"/>
    <w:rsid w:val="00995FCF"/>
    <w:rsid w:val="00996017"/>
    <w:rsid w:val="00996DEF"/>
    <w:rsid w:val="00997531"/>
    <w:rsid w:val="00997A5E"/>
    <w:rsid w:val="00997DEB"/>
    <w:rsid w:val="00997DFA"/>
    <w:rsid w:val="009A02F5"/>
    <w:rsid w:val="009A186F"/>
    <w:rsid w:val="009A20A5"/>
    <w:rsid w:val="009A21A6"/>
    <w:rsid w:val="009A22F8"/>
    <w:rsid w:val="009A2DBD"/>
    <w:rsid w:val="009A3179"/>
    <w:rsid w:val="009A32AB"/>
    <w:rsid w:val="009A33C3"/>
    <w:rsid w:val="009A35BA"/>
    <w:rsid w:val="009A36A8"/>
    <w:rsid w:val="009A37E0"/>
    <w:rsid w:val="009A37EE"/>
    <w:rsid w:val="009A3B1A"/>
    <w:rsid w:val="009A3BA6"/>
    <w:rsid w:val="009A4608"/>
    <w:rsid w:val="009A47E1"/>
    <w:rsid w:val="009A54D6"/>
    <w:rsid w:val="009A5660"/>
    <w:rsid w:val="009A5FFF"/>
    <w:rsid w:val="009A6114"/>
    <w:rsid w:val="009A6269"/>
    <w:rsid w:val="009A636A"/>
    <w:rsid w:val="009A6DD6"/>
    <w:rsid w:val="009A6EA2"/>
    <w:rsid w:val="009A7629"/>
    <w:rsid w:val="009A7EA2"/>
    <w:rsid w:val="009A7FDF"/>
    <w:rsid w:val="009B0BAF"/>
    <w:rsid w:val="009B0BD8"/>
    <w:rsid w:val="009B1C89"/>
    <w:rsid w:val="009B26D4"/>
    <w:rsid w:val="009B28AE"/>
    <w:rsid w:val="009B291B"/>
    <w:rsid w:val="009B2C57"/>
    <w:rsid w:val="009B2D1A"/>
    <w:rsid w:val="009B347F"/>
    <w:rsid w:val="009B3892"/>
    <w:rsid w:val="009B435D"/>
    <w:rsid w:val="009B571E"/>
    <w:rsid w:val="009B59C2"/>
    <w:rsid w:val="009B5C64"/>
    <w:rsid w:val="009B61CB"/>
    <w:rsid w:val="009B6915"/>
    <w:rsid w:val="009C0FF3"/>
    <w:rsid w:val="009C1A33"/>
    <w:rsid w:val="009C1AFB"/>
    <w:rsid w:val="009C28D7"/>
    <w:rsid w:val="009C29A1"/>
    <w:rsid w:val="009C2B51"/>
    <w:rsid w:val="009C2C6B"/>
    <w:rsid w:val="009C3D05"/>
    <w:rsid w:val="009C3E89"/>
    <w:rsid w:val="009C490A"/>
    <w:rsid w:val="009C4D98"/>
    <w:rsid w:val="009C4DE2"/>
    <w:rsid w:val="009C5A3E"/>
    <w:rsid w:val="009C623A"/>
    <w:rsid w:val="009C6D3D"/>
    <w:rsid w:val="009C70D5"/>
    <w:rsid w:val="009C76FC"/>
    <w:rsid w:val="009D0019"/>
    <w:rsid w:val="009D0061"/>
    <w:rsid w:val="009D04CF"/>
    <w:rsid w:val="009D0568"/>
    <w:rsid w:val="009D1406"/>
    <w:rsid w:val="009D1A9F"/>
    <w:rsid w:val="009D1D39"/>
    <w:rsid w:val="009D291B"/>
    <w:rsid w:val="009D2CD1"/>
    <w:rsid w:val="009D3C0F"/>
    <w:rsid w:val="009D3EC8"/>
    <w:rsid w:val="009D42C9"/>
    <w:rsid w:val="009D4A43"/>
    <w:rsid w:val="009D4A88"/>
    <w:rsid w:val="009D4E92"/>
    <w:rsid w:val="009D557D"/>
    <w:rsid w:val="009D594E"/>
    <w:rsid w:val="009D5A17"/>
    <w:rsid w:val="009D696A"/>
    <w:rsid w:val="009D6B4E"/>
    <w:rsid w:val="009D7174"/>
    <w:rsid w:val="009D7F2F"/>
    <w:rsid w:val="009D7F37"/>
    <w:rsid w:val="009E03A7"/>
    <w:rsid w:val="009E148A"/>
    <w:rsid w:val="009E1496"/>
    <w:rsid w:val="009E1811"/>
    <w:rsid w:val="009E1999"/>
    <w:rsid w:val="009E26B7"/>
    <w:rsid w:val="009E2DE5"/>
    <w:rsid w:val="009E346A"/>
    <w:rsid w:val="009E3B00"/>
    <w:rsid w:val="009E3CA7"/>
    <w:rsid w:val="009E4A00"/>
    <w:rsid w:val="009E4E9A"/>
    <w:rsid w:val="009E52E7"/>
    <w:rsid w:val="009E589A"/>
    <w:rsid w:val="009E5D46"/>
    <w:rsid w:val="009E5E26"/>
    <w:rsid w:val="009E61D3"/>
    <w:rsid w:val="009E65D5"/>
    <w:rsid w:val="009E693E"/>
    <w:rsid w:val="009E6EA0"/>
    <w:rsid w:val="009E7260"/>
    <w:rsid w:val="009E72F0"/>
    <w:rsid w:val="009E77A0"/>
    <w:rsid w:val="009E7DA5"/>
    <w:rsid w:val="009E7DE1"/>
    <w:rsid w:val="009F0892"/>
    <w:rsid w:val="009F0A64"/>
    <w:rsid w:val="009F0BDB"/>
    <w:rsid w:val="009F100A"/>
    <w:rsid w:val="009F1571"/>
    <w:rsid w:val="009F1764"/>
    <w:rsid w:val="009F1AD7"/>
    <w:rsid w:val="009F3575"/>
    <w:rsid w:val="009F3835"/>
    <w:rsid w:val="009F3907"/>
    <w:rsid w:val="009F472E"/>
    <w:rsid w:val="009F4889"/>
    <w:rsid w:val="009F61D2"/>
    <w:rsid w:val="009F6797"/>
    <w:rsid w:val="009F67BE"/>
    <w:rsid w:val="009F6E8D"/>
    <w:rsid w:val="009F78F8"/>
    <w:rsid w:val="009F7E6C"/>
    <w:rsid w:val="00A00073"/>
    <w:rsid w:val="00A0041B"/>
    <w:rsid w:val="00A01D9A"/>
    <w:rsid w:val="00A01EE2"/>
    <w:rsid w:val="00A03978"/>
    <w:rsid w:val="00A03984"/>
    <w:rsid w:val="00A040E2"/>
    <w:rsid w:val="00A04314"/>
    <w:rsid w:val="00A044DB"/>
    <w:rsid w:val="00A04745"/>
    <w:rsid w:val="00A0486F"/>
    <w:rsid w:val="00A04B0C"/>
    <w:rsid w:val="00A04BAC"/>
    <w:rsid w:val="00A0514A"/>
    <w:rsid w:val="00A05752"/>
    <w:rsid w:val="00A06065"/>
    <w:rsid w:val="00A062BF"/>
    <w:rsid w:val="00A07EAB"/>
    <w:rsid w:val="00A07F32"/>
    <w:rsid w:val="00A102F5"/>
    <w:rsid w:val="00A103C4"/>
    <w:rsid w:val="00A113E4"/>
    <w:rsid w:val="00A11C67"/>
    <w:rsid w:val="00A123CD"/>
    <w:rsid w:val="00A12821"/>
    <w:rsid w:val="00A12D43"/>
    <w:rsid w:val="00A12E15"/>
    <w:rsid w:val="00A12E3D"/>
    <w:rsid w:val="00A132A7"/>
    <w:rsid w:val="00A13864"/>
    <w:rsid w:val="00A13979"/>
    <w:rsid w:val="00A14501"/>
    <w:rsid w:val="00A146C6"/>
    <w:rsid w:val="00A14B46"/>
    <w:rsid w:val="00A14BB7"/>
    <w:rsid w:val="00A14DB4"/>
    <w:rsid w:val="00A15963"/>
    <w:rsid w:val="00A163E4"/>
    <w:rsid w:val="00A16B48"/>
    <w:rsid w:val="00A179A6"/>
    <w:rsid w:val="00A17DC7"/>
    <w:rsid w:val="00A2043B"/>
    <w:rsid w:val="00A20442"/>
    <w:rsid w:val="00A20804"/>
    <w:rsid w:val="00A2090F"/>
    <w:rsid w:val="00A211D1"/>
    <w:rsid w:val="00A211EF"/>
    <w:rsid w:val="00A21ECC"/>
    <w:rsid w:val="00A22745"/>
    <w:rsid w:val="00A22D0C"/>
    <w:rsid w:val="00A2301F"/>
    <w:rsid w:val="00A2504D"/>
    <w:rsid w:val="00A25470"/>
    <w:rsid w:val="00A25E79"/>
    <w:rsid w:val="00A269FE"/>
    <w:rsid w:val="00A272EE"/>
    <w:rsid w:val="00A27D91"/>
    <w:rsid w:val="00A32938"/>
    <w:rsid w:val="00A334C6"/>
    <w:rsid w:val="00A33BD1"/>
    <w:rsid w:val="00A33D6C"/>
    <w:rsid w:val="00A3451B"/>
    <w:rsid w:val="00A347C9"/>
    <w:rsid w:val="00A349C7"/>
    <w:rsid w:val="00A34BE2"/>
    <w:rsid w:val="00A35445"/>
    <w:rsid w:val="00A358C9"/>
    <w:rsid w:val="00A361C1"/>
    <w:rsid w:val="00A3675B"/>
    <w:rsid w:val="00A37583"/>
    <w:rsid w:val="00A37735"/>
    <w:rsid w:val="00A37DEB"/>
    <w:rsid w:val="00A37F1F"/>
    <w:rsid w:val="00A405BF"/>
    <w:rsid w:val="00A405FE"/>
    <w:rsid w:val="00A406A0"/>
    <w:rsid w:val="00A406C0"/>
    <w:rsid w:val="00A40DAC"/>
    <w:rsid w:val="00A41FF1"/>
    <w:rsid w:val="00A423EB"/>
    <w:rsid w:val="00A42EEE"/>
    <w:rsid w:val="00A43487"/>
    <w:rsid w:val="00A434D1"/>
    <w:rsid w:val="00A43B10"/>
    <w:rsid w:val="00A444ED"/>
    <w:rsid w:val="00A45AD9"/>
    <w:rsid w:val="00A469D2"/>
    <w:rsid w:val="00A46E0B"/>
    <w:rsid w:val="00A46FC8"/>
    <w:rsid w:val="00A47341"/>
    <w:rsid w:val="00A50067"/>
    <w:rsid w:val="00A50605"/>
    <w:rsid w:val="00A506C2"/>
    <w:rsid w:val="00A50B05"/>
    <w:rsid w:val="00A50B9F"/>
    <w:rsid w:val="00A50CF7"/>
    <w:rsid w:val="00A50E42"/>
    <w:rsid w:val="00A51FD9"/>
    <w:rsid w:val="00A52420"/>
    <w:rsid w:val="00A52950"/>
    <w:rsid w:val="00A52954"/>
    <w:rsid w:val="00A529E2"/>
    <w:rsid w:val="00A52B38"/>
    <w:rsid w:val="00A52B6E"/>
    <w:rsid w:val="00A54524"/>
    <w:rsid w:val="00A54659"/>
    <w:rsid w:val="00A546D6"/>
    <w:rsid w:val="00A558B7"/>
    <w:rsid w:val="00A558C7"/>
    <w:rsid w:val="00A56750"/>
    <w:rsid w:val="00A56853"/>
    <w:rsid w:val="00A568CB"/>
    <w:rsid w:val="00A56962"/>
    <w:rsid w:val="00A56D57"/>
    <w:rsid w:val="00A6025D"/>
    <w:rsid w:val="00A60DDE"/>
    <w:rsid w:val="00A61D8A"/>
    <w:rsid w:val="00A623CB"/>
    <w:rsid w:val="00A626F9"/>
    <w:rsid w:val="00A63A38"/>
    <w:rsid w:val="00A63B9F"/>
    <w:rsid w:val="00A64D46"/>
    <w:rsid w:val="00A65AB7"/>
    <w:rsid w:val="00A65E1D"/>
    <w:rsid w:val="00A65F2B"/>
    <w:rsid w:val="00A66599"/>
    <w:rsid w:val="00A6755C"/>
    <w:rsid w:val="00A67AA3"/>
    <w:rsid w:val="00A67E07"/>
    <w:rsid w:val="00A67E6C"/>
    <w:rsid w:val="00A67FEC"/>
    <w:rsid w:val="00A70F04"/>
    <w:rsid w:val="00A71015"/>
    <w:rsid w:val="00A722BA"/>
    <w:rsid w:val="00A72FD7"/>
    <w:rsid w:val="00A738BD"/>
    <w:rsid w:val="00A73EB8"/>
    <w:rsid w:val="00A74567"/>
    <w:rsid w:val="00A7478B"/>
    <w:rsid w:val="00A74A32"/>
    <w:rsid w:val="00A754D6"/>
    <w:rsid w:val="00A755D0"/>
    <w:rsid w:val="00A7575B"/>
    <w:rsid w:val="00A75F0C"/>
    <w:rsid w:val="00A760E1"/>
    <w:rsid w:val="00A76280"/>
    <w:rsid w:val="00A76469"/>
    <w:rsid w:val="00A76621"/>
    <w:rsid w:val="00A76C8C"/>
    <w:rsid w:val="00A76DEC"/>
    <w:rsid w:val="00A770D4"/>
    <w:rsid w:val="00A773F3"/>
    <w:rsid w:val="00A779D1"/>
    <w:rsid w:val="00A77AEC"/>
    <w:rsid w:val="00A77E6A"/>
    <w:rsid w:val="00A8044F"/>
    <w:rsid w:val="00A81B82"/>
    <w:rsid w:val="00A82C90"/>
    <w:rsid w:val="00A83777"/>
    <w:rsid w:val="00A83D3B"/>
    <w:rsid w:val="00A8402F"/>
    <w:rsid w:val="00A855EE"/>
    <w:rsid w:val="00A85D9F"/>
    <w:rsid w:val="00A85EC0"/>
    <w:rsid w:val="00A86BAE"/>
    <w:rsid w:val="00A87687"/>
    <w:rsid w:val="00A90559"/>
    <w:rsid w:val="00A90810"/>
    <w:rsid w:val="00A91098"/>
    <w:rsid w:val="00A91453"/>
    <w:rsid w:val="00A9178C"/>
    <w:rsid w:val="00A92895"/>
    <w:rsid w:val="00A92993"/>
    <w:rsid w:val="00A92EA4"/>
    <w:rsid w:val="00A930C9"/>
    <w:rsid w:val="00A931B2"/>
    <w:rsid w:val="00A93327"/>
    <w:rsid w:val="00A9334A"/>
    <w:rsid w:val="00A93517"/>
    <w:rsid w:val="00A935D9"/>
    <w:rsid w:val="00A93769"/>
    <w:rsid w:val="00A93944"/>
    <w:rsid w:val="00A94016"/>
    <w:rsid w:val="00A940A0"/>
    <w:rsid w:val="00A94306"/>
    <w:rsid w:val="00A94B0D"/>
    <w:rsid w:val="00A95425"/>
    <w:rsid w:val="00A95FE9"/>
    <w:rsid w:val="00A97952"/>
    <w:rsid w:val="00A97B52"/>
    <w:rsid w:val="00A97F12"/>
    <w:rsid w:val="00AA0520"/>
    <w:rsid w:val="00AA0597"/>
    <w:rsid w:val="00AA107A"/>
    <w:rsid w:val="00AA1481"/>
    <w:rsid w:val="00AA1883"/>
    <w:rsid w:val="00AA1F45"/>
    <w:rsid w:val="00AA23A3"/>
    <w:rsid w:val="00AA23C8"/>
    <w:rsid w:val="00AA2ECB"/>
    <w:rsid w:val="00AA32F5"/>
    <w:rsid w:val="00AA3490"/>
    <w:rsid w:val="00AA5137"/>
    <w:rsid w:val="00AA55C7"/>
    <w:rsid w:val="00AA56AC"/>
    <w:rsid w:val="00AA5A19"/>
    <w:rsid w:val="00AA5D5A"/>
    <w:rsid w:val="00AA5EE6"/>
    <w:rsid w:val="00AA6A94"/>
    <w:rsid w:val="00AA6C53"/>
    <w:rsid w:val="00AA76E6"/>
    <w:rsid w:val="00AA7876"/>
    <w:rsid w:val="00AA7C62"/>
    <w:rsid w:val="00AB0A92"/>
    <w:rsid w:val="00AB1795"/>
    <w:rsid w:val="00AB2253"/>
    <w:rsid w:val="00AB261B"/>
    <w:rsid w:val="00AB2AEC"/>
    <w:rsid w:val="00AB2EC0"/>
    <w:rsid w:val="00AB402C"/>
    <w:rsid w:val="00AB4839"/>
    <w:rsid w:val="00AB48AA"/>
    <w:rsid w:val="00AB48D2"/>
    <w:rsid w:val="00AB4DFA"/>
    <w:rsid w:val="00AB5A8B"/>
    <w:rsid w:val="00AB5C6B"/>
    <w:rsid w:val="00AB611E"/>
    <w:rsid w:val="00AB6DE3"/>
    <w:rsid w:val="00AB6F0F"/>
    <w:rsid w:val="00AB79A3"/>
    <w:rsid w:val="00AC0304"/>
    <w:rsid w:val="00AC0A68"/>
    <w:rsid w:val="00AC1785"/>
    <w:rsid w:val="00AC19EE"/>
    <w:rsid w:val="00AC1B1F"/>
    <w:rsid w:val="00AC1C02"/>
    <w:rsid w:val="00AC225F"/>
    <w:rsid w:val="00AC2726"/>
    <w:rsid w:val="00AC27BB"/>
    <w:rsid w:val="00AC2806"/>
    <w:rsid w:val="00AC287C"/>
    <w:rsid w:val="00AC298D"/>
    <w:rsid w:val="00AC2A3A"/>
    <w:rsid w:val="00AC2A77"/>
    <w:rsid w:val="00AC3CB4"/>
    <w:rsid w:val="00AC3EA6"/>
    <w:rsid w:val="00AC404A"/>
    <w:rsid w:val="00AC4B55"/>
    <w:rsid w:val="00AC4DEC"/>
    <w:rsid w:val="00AC4F02"/>
    <w:rsid w:val="00AC5850"/>
    <w:rsid w:val="00AC59BB"/>
    <w:rsid w:val="00AC60B1"/>
    <w:rsid w:val="00AC6783"/>
    <w:rsid w:val="00AC6C61"/>
    <w:rsid w:val="00AC78BB"/>
    <w:rsid w:val="00AC7D87"/>
    <w:rsid w:val="00AC7E37"/>
    <w:rsid w:val="00AD002E"/>
    <w:rsid w:val="00AD0247"/>
    <w:rsid w:val="00AD0C27"/>
    <w:rsid w:val="00AD0C8F"/>
    <w:rsid w:val="00AD1448"/>
    <w:rsid w:val="00AD198D"/>
    <w:rsid w:val="00AD1BDA"/>
    <w:rsid w:val="00AD1F7F"/>
    <w:rsid w:val="00AD2312"/>
    <w:rsid w:val="00AD24FA"/>
    <w:rsid w:val="00AD2B0E"/>
    <w:rsid w:val="00AD2E73"/>
    <w:rsid w:val="00AD2E8D"/>
    <w:rsid w:val="00AD2EDF"/>
    <w:rsid w:val="00AD33AE"/>
    <w:rsid w:val="00AD3692"/>
    <w:rsid w:val="00AD379C"/>
    <w:rsid w:val="00AD38B4"/>
    <w:rsid w:val="00AD4010"/>
    <w:rsid w:val="00AD4C28"/>
    <w:rsid w:val="00AD4F6E"/>
    <w:rsid w:val="00AD4F83"/>
    <w:rsid w:val="00AD5390"/>
    <w:rsid w:val="00AD5401"/>
    <w:rsid w:val="00AD5F7D"/>
    <w:rsid w:val="00AD65F9"/>
    <w:rsid w:val="00AD67D1"/>
    <w:rsid w:val="00AD6EEA"/>
    <w:rsid w:val="00AD7268"/>
    <w:rsid w:val="00AD7766"/>
    <w:rsid w:val="00AE0A0E"/>
    <w:rsid w:val="00AE0CFC"/>
    <w:rsid w:val="00AE0DC8"/>
    <w:rsid w:val="00AE0E9F"/>
    <w:rsid w:val="00AE1001"/>
    <w:rsid w:val="00AE12DA"/>
    <w:rsid w:val="00AE1C18"/>
    <w:rsid w:val="00AE1E69"/>
    <w:rsid w:val="00AE25EA"/>
    <w:rsid w:val="00AE2661"/>
    <w:rsid w:val="00AE2CF1"/>
    <w:rsid w:val="00AE31CB"/>
    <w:rsid w:val="00AE38E8"/>
    <w:rsid w:val="00AE3B31"/>
    <w:rsid w:val="00AE3B88"/>
    <w:rsid w:val="00AE4045"/>
    <w:rsid w:val="00AE42DE"/>
    <w:rsid w:val="00AE485A"/>
    <w:rsid w:val="00AE5C7B"/>
    <w:rsid w:val="00AE5CF0"/>
    <w:rsid w:val="00AE5F23"/>
    <w:rsid w:val="00AE66FD"/>
    <w:rsid w:val="00AE6D14"/>
    <w:rsid w:val="00AE6D61"/>
    <w:rsid w:val="00AE7603"/>
    <w:rsid w:val="00AE798D"/>
    <w:rsid w:val="00AE7995"/>
    <w:rsid w:val="00AF039A"/>
    <w:rsid w:val="00AF0A0A"/>
    <w:rsid w:val="00AF0A8B"/>
    <w:rsid w:val="00AF151A"/>
    <w:rsid w:val="00AF1901"/>
    <w:rsid w:val="00AF1AED"/>
    <w:rsid w:val="00AF1CDC"/>
    <w:rsid w:val="00AF21E4"/>
    <w:rsid w:val="00AF2578"/>
    <w:rsid w:val="00AF261A"/>
    <w:rsid w:val="00AF2691"/>
    <w:rsid w:val="00AF3226"/>
    <w:rsid w:val="00AF3CB7"/>
    <w:rsid w:val="00AF4047"/>
    <w:rsid w:val="00AF4367"/>
    <w:rsid w:val="00AF463B"/>
    <w:rsid w:val="00AF46AA"/>
    <w:rsid w:val="00AF4BF3"/>
    <w:rsid w:val="00AF58B9"/>
    <w:rsid w:val="00AF6238"/>
    <w:rsid w:val="00AF62C8"/>
    <w:rsid w:val="00AF6421"/>
    <w:rsid w:val="00AF72C3"/>
    <w:rsid w:val="00AF78BF"/>
    <w:rsid w:val="00AF79B2"/>
    <w:rsid w:val="00AF7DD6"/>
    <w:rsid w:val="00AF7EE7"/>
    <w:rsid w:val="00B00E41"/>
    <w:rsid w:val="00B0101F"/>
    <w:rsid w:val="00B01DA1"/>
    <w:rsid w:val="00B01FFA"/>
    <w:rsid w:val="00B0222B"/>
    <w:rsid w:val="00B026C0"/>
    <w:rsid w:val="00B0270A"/>
    <w:rsid w:val="00B02B5D"/>
    <w:rsid w:val="00B03AD1"/>
    <w:rsid w:val="00B03B38"/>
    <w:rsid w:val="00B0449C"/>
    <w:rsid w:val="00B04761"/>
    <w:rsid w:val="00B04AA3"/>
    <w:rsid w:val="00B04BF1"/>
    <w:rsid w:val="00B05574"/>
    <w:rsid w:val="00B05B2A"/>
    <w:rsid w:val="00B05DF0"/>
    <w:rsid w:val="00B0628D"/>
    <w:rsid w:val="00B06FA7"/>
    <w:rsid w:val="00B0737E"/>
    <w:rsid w:val="00B07895"/>
    <w:rsid w:val="00B07C7D"/>
    <w:rsid w:val="00B07E3B"/>
    <w:rsid w:val="00B1005B"/>
    <w:rsid w:val="00B1046D"/>
    <w:rsid w:val="00B10CF3"/>
    <w:rsid w:val="00B110FF"/>
    <w:rsid w:val="00B113B9"/>
    <w:rsid w:val="00B1142A"/>
    <w:rsid w:val="00B11582"/>
    <w:rsid w:val="00B11E29"/>
    <w:rsid w:val="00B12C57"/>
    <w:rsid w:val="00B13305"/>
    <w:rsid w:val="00B13375"/>
    <w:rsid w:val="00B136C8"/>
    <w:rsid w:val="00B1383D"/>
    <w:rsid w:val="00B13D32"/>
    <w:rsid w:val="00B1521D"/>
    <w:rsid w:val="00B1524E"/>
    <w:rsid w:val="00B15267"/>
    <w:rsid w:val="00B15E42"/>
    <w:rsid w:val="00B16011"/>
    <w:rsid w:val="00B164E9"/>
    <w:rsid w:val="00B16724"/>
    <w:rsid w:val="00B16B93"/>
    <w:rsid w:val="00B16BDA"/>
    <w:rsid w:val="00B17142"/>
    <w:rsid w:val="00B1761A"/>
    <w:rsid w:val="00B20E1C"/>
    <w:rsid w:val="00B20F59"/>
    <w:rsid w:val="00B211EF"/>
    <w:rsid w:val="00B218CF"/>
    <w:rsid w:val="00B21963"/>
    <w:rsid w:val="00B21C31"/>
    <w:rsid w:val="00B224F9"/>
    <w:rsid w:val="00B22931"/>
    <w:rsid w:val="00B23627"/>
    <w:rsid w:val="00B23B43"/>
    <w:rsid w:val="00B23B69"/>
    <w:rsid w:val="00B24ABA"/>
    <w:rsid w:val="00B24C53"/>
    <w:rsid w:val="00B24D39"/>
    <w:rsid w:val="00B24F3A"/>
    <w:rsid w:val="00B24FD6"/>
    <w:rsid w:val="00B25195"/>
    <w:rsid w:val="00B251ED"/>
    <w:rsid w:val="00B25BC5"/>
    <w:rsid w:val="00B26342"/>
    <w:rsid w:val="00B268F0"/>
    <w:rsid w:val="00B269A5"/>
    <w:rsid w:val="00B271E7"/>
    <w:rsid w:val="00B27654"/>
    <w:rsid w:val="00B2781A"/>
    <w:rsid w:val="00B303EE"/>
    <w:rsid w:val="00B31212"/>
    <w:rsid w:val="00B313F1"/>
    <w:rsid w:val="00B31450"/>
    <w:rsid w:val="00B31AD7"/>
    <w:rsid w:val="00B33E85"/>
    <w:rsid w:val="00B34740"/>
    <w:rsid w:val="00B348D5"/>
    <w:rsid w:val="00B34957"/>
    <w:rsid w:val="00B360EA"/>
    <w:rsid w:val="00B368B5"/>
    <w:rsid w:val="00B37381"/>
    <w:rsid w:val="00B37538"/>
    <w:rsid w:val="00B376F2"/>
    <w:rsid w:val="00B378EC"/>
    <w:rsid w:val="00B403D1"/>
    <w:rsid w:val="00B40424"/>
    <w:rsid w:val="00B40857"/>
    <w:rsid w:val="00B40C0F"/>
    <w:rsid w:val="00B40DC3"/>
    <w:rsid w:val="00B413BE"/>
    <w:rsid w:val="00B41739"/>
    <w:rsid w:val="00B417CF"/>
    <w:rsid w:val="00B423B9"/>
    <w:rsid w:val="00B42D6A"/>
    <w:rsid w:val="00B44BE0"/>
    <w:rsid w:val="00B44E29"/>
    <w:rsid w:val="00B456C9"/>
    <w:rsid w:val="00B4570B"/>
    <w:rsid w:val="00B4655D"/>
    <w:rsid w:val="00B467D3"/>
    <w:rsid w:val="00B468F1"/>
    <w:rsid w:val="00B46947"/>
    <w:rsid w:val="00B46FFE"/>
    <w:rsid w:val="00B4711A"/>
    <w:rsid w:val="00B4761D"/>
    <w:rsid w:val="00B47749"/>
    <w:rsid w:val="00B500A4"/>
    <w:rsid w:val="00B5046F"/>
    <w:rsid w:val="00B5066B"/>
    <w:rsid w:val="00B5080D"/>
    <w:rsid w:val="00B50A66"/>
    <w:rsid w:val="00B512A4"/>
    <w:rsid w:val="00B519D5"/>
    <w:rsid w:val="00B51A65"/>
    <w:rsid w:val="00B5213F"/>
    <w:rsid w:val="00B52329"/>
    <w:rsid w:val="00B531EF"/>
    <w:rsid w:val="00B53260"/>
    <w:rsid w:val="00B532E3"/>
    <w:rsid w:val="00B533C4"/>
    <w:rsid w:val="00B5393F"/>
    <w:rsid w:val="00B54A26"/>
    <w:rsid w:val="00B54B38"/>
    <w:rsid w:val="00B54B9C"/>
    <w:rsid w:val="00B54D1B"/>
    <w:rsid w:val="00B54DBA"/>
    <w:rsid w:val="00B5564E"/>
    <w:rsid w:val="00B5592D"/>
    <w:rsid w:val="00B5645A"/>
    <w:rsid w:val="00B56AC5"/>
    <w:rsid w:val="00B56B3A"/>
    <w:rsid w:val="00B56EFE"/>
    <w:rsid w:val="00B56F84"/>
    <w:rsid w:val="00B5736F"/>
    <w:rsid w:val="00B57514"/>
    <w:rsid w:val="00B57562"/>
    <w:rsid w:val="00B575DE"/>
    <w:rsid w:val="00B607DE"/>
    <w:rsid w:val="00B60FE1"/>
    <w:rsid w:val="00B611B4"/>
    <w:rsid w:val="00B613CA"/>
    <w:rsid w:val="00B61426"/>
    <w:rsid w:val="00B61552"/>
    <w:rsid w:val="00B6220C"/>
    <w:rsid w:val="00B62AE9"/>
    <w:rsid w:val="00B62CDE"/>
    <w:rsid w:val="00B64BBB"/>
    <w:rsid w:val="00B651DE"/>
    <w:rsid w:val="00B65729"/>
    <w:rsid w:val="00B658E4"/>
    <w:rsid w:val="00B65A12"/>
    <w:rsid w:val="00B65B20"/>
    <w:rsid w:val="00B65F4D"/>
    <w:rsid w:val="00B66710"/>
    <w:rsid w:val="00B66B8E"/>
    <w:rsid w:val="00B676CC"/>
    <w:rsid w:val="00B67F2B"/>
    <w:rsid w:val="00B67F48"/>
    <w:rsid w:val="00B67FD3"/>
    <w:rsid w:val="00B70900"/>
    <w:rsid w:val="00B70DB5"/>
    <w:rsid w:val="00B7100C"/>
    <w:rsid w:val="00B71565"/>
    <w:rsid w:val="00B719D0"/>
    <w:rsid w:val="00B71A76"/>
    <w:rsid w:val="00B723EB"/>
    <w:rsid w:val="00B72DC6"/>
    <w:rsid w:val="00B732CF"/>
    <w:rsid w:val="00B749DA"/>
    <w:rsid w:val="00B74DD1"/>
    <w:rsid w:val="00B74FF4"/>
    <w:rsid w:val="00B75725"/>
    <w:rsid w:val="00B75B05"/>
    <w:rsid w:val="00B76761"/>
    <w:rsid w:val="00B76774"/>
    <w:rsid w:val="00B76D79"/>
    <w:rsid w:val="00B76DA6"/>
    <w:rsid w:val="00B76F15"/>
    <w:rsid w:val="00B76F19"/>
    <w:rsid w:val="00B77181"/>
    <w:rsid w:val="00B77918"/>
    <w:rsid w:val="00B77A35"/>
    <w:rsid w:val="00B80B24"/>
    <w:rsid w:val="00B80D16"/>
    <w:rsid w:val="00B80F42"/>
    <w:rsid w:val="00B81D2C"/>
    <w:rsid w:val="00B82FC2"/>
    <w:rsid w:val="00B83C5A"/>
    <w:rsid w:val="00B84932"/>
    <w:rsid w:val="00B850E7"/>
    <w:rsid w:val="00B853C6"/>
    <w:rsid w:val="00B853D7"/>
    <w:rsid w:val="00B8566D"/>
    <w:rsid w:val="00B868A6"/>
    <w:rsid w:val="00B86BC1"/>
    <w:rsid w:val="00B86C3B"/>
    <w:rsid w:val="00B87162"/>
    <w:rsid w:val="00B8727D"/>
    <w:rsid w:val="00B8743F"/>
    <w:rsid w:val="00B878FD"/>
    <w:rsid w:val="00B87B11"/>
    <w:rsid w:val="00B9012D"/>
    <w:rsid w:val="00B902A9"/>
    <w:rsid w:val="00B91153"/>
    <w:rsid w:val="00B91322"/>
    <w:rsid w:val="00B91511"/>
    <w:rsid w:val="00B91771"/>
    <w:rsid w:val="00B918FA"/>
    <w:rsid w:val="00B91E99"/>
    <w:rsid w:val="00B91FBB"/>
    <w:rsid w:val="00B930FE"/>
    <w:rsid w:val="00B932AC"/>
    <w:rsid w:val="00B93E3E"/>
    <w:rsid w:val="00B9449C"/>
    <w:rsid w:val="00B94D0B"/>
    <w:rsid w:val="00B95066"/>
    <w:rsid w:val="00B959FE"/>
    <w:rsid w:val="00B964F3"/>
    <w:rsid w:val="00B9779F"/>
    <w:rsid w:val="00BA1477"/>
    <w:rsid w:val="00BA1792"/>
    <w:rsid w:val="00BA1DF3"/>
    <w:rsid w:val="00BA2556"/>
    <w:rsid w:val="00BA2E1C"/>
    <w:rsid w:val="00BA3549"/>
    <w:rsid w:val="00BA3756"/>
    <w:rsid w:val="00BA4B61"/>
    <w:rsid w:val="00BA4DBB"/>
    <w:rsid w:val="00BA4EFB"/>
    <w:rsid w:val="00BA587B"/>
    <w:rsid w:val="00BA5A0F"/>
    <w:rsid w:val="00BA5DCC"/>
    <w:rsid w:val="00BA5F89"/>
    <w:rsid w:val="00BA6B99"/>
    <w:rsid w:val="00BB05E7"/>
    <w:rsid w:val="00BB102B"/>
    <w:rsid w:val="00BB1BE5"/>
    <w:rsid w:val="00BB2787"/>
    <w:rsid w:val="00BB3266"/>
    <w:rsid w:val="00BB3608"/>
    <w:rsid w:val="00BB399E"/>
    <w:rsid w:val="00BB3B5F"/>
    <w:rsid w:val="00BB3C2E"/>
    <w:rsid w:val="00BB43D7"/>
    <w:rsid w:val="00BB5530"/>
    <w:rsid w:val="00BB57EF"/>
    <w:rsid w:val="00BB6780"/>
    <w:rsid w:val="00BB69DF"/>
    <w:rsid w:val="00BB7091"/>
    <w:rsid w:val="00BC0469"/>
    <w:rsid w:val="00BC0579"/>
    <w:rsid w:val="00BC08FE"/>
    <w:rsid w:val="00BC0B0D"/>
    <w:rsid w:val="00BC1207"/>
    <w:rsid w:val="00BC136F"/>
    <w:rsid w:val="00BC1831"/>
    <w:rsid w:val="00BC1837"/>
    <w:rsid w:val="00BC1AA9"/>
    <w:rsid w:val="00BC1BB1"/>
    <w:rsid w:val="00BC2913"/>
    <w:rsid w:val="00BC2923"/>
    <w:rsid w:val="00BC2F16"/>
    <w:rsid w:val="00BC3035"/>
    <w:rsid w:val="00BC33F1"/>
    <w:rsid w:val="00BC359E"/>
    <w:rsid w:val="00BC3768"/>
    <w:rsid w:val="00BC3CE5"/>
    <w:rsid w:val="00BC3E5E"/>
    <w:rsid w:val="00BC44B7"/>
    <w:rsid w:val="00BC5894"/>
    <w:rsid w:val="00BC5DCA"/>
    <w:rsid w:val="00BC6373"/>
    <w:rsid w:val="00BC6C52"/>
    <w:rsid w:val="00BC7509"/>
    <w:rsid w:val="00BC7DAB"/>
    <w:rsid w:val="00BD0D91"/>
    <w:rsid w:val="00BD0EFA"/>
    <w:rsid w:val="00BD0F93"/>
    <w:rsid w:val="00BD1557"/>
    <w:rsid w:val="00BD157C"/>
    <w:rsid w:val="00BD2B7F"/>
    <w:rsid w:val="00BD30C6"/>
    <w:rsid w:val="00BD3795"/>
    <w:rsid w:val="00BD3B16"/>
    <w:rsid w:val="00BD462C"/>
    <w:rsid w:val="00BD49F5"/>
    <w:rsid w:val="00BD4D37"/>
    <w:rsid w:val="00BD5406"/>
    <w:rsid w:val="00BD573A"/>
    <w:rsid w:val="00BD5D2A"/>
    <w:rsid w:val="00BD5D7B"/>
    <w:rsid w:val="00BD61A4"/>
    <w:rsid w:val="00BD6C81"/>
    <w:rsid w:val="00BE0EE0"/>
    <w:rsid w:val="00BE0EE3"/>
    <w:rsid w:val="00BE176E"/>
    <w:rsid w:val="00BE1A6A"/>
    <w:rsid w:val="00BE1A7A"/>
    <w:rsid w:val="00BE1D75"/>
    <w:rsid w:val="00BE20B8"/>
    <w:rsid w:val="00BE2270"/>
    <w:rsid w:val="00BE22A9"/>
    <w:rsid w:val="00BE27D5"/>
    <w:rsid w:val="00BE27E4"/>
    <w:rsid w:val="00BE3176"/>
    <w:rsid w:val="00BE3448"/>
    <w:rsid w:val="00BE34D7"/>
    <w:rsid w:val="00BE3644"/>
    <w:rsid w:val="00BE3D63"/>
    <w:rsid w:val="00BE405B"/>
    <w:rsid w:val="00BE406E"/>
    <w:rsid w:val="00BE442C"/>
    <w:rsid w:val="00BE4B39"/>
    <w:rsid w:val="00BE556C"/>
    <w:rsid w:val="00BE55FA"/>
    <w:rsid w:val="00BE5D52"/>
    <w:rsid w:val="00BE6474"/>
    <w:rsid w:val="00BE6AD7"/>
    <w:rsid w:val="00BE6BDD"/>
    <w:rsid w:val="00BE7151"/>
    <w:rsid w:val="00BE7886"/>
    <w:rsid w:val="00BF06E9"/>
    <w:rsid w:val="00BF0BAE"/>
    <w:rsid w:val="00BF1078"/>
    <w:rsid w:val="00BF1C1A"/>
    <w:rsid w:val="00BF2075"/>
    <w:rsid w:val="00BF2266"/>
    <w:rsid w:val="00BF27B3"/>
    <w:rsid w:val="00BF2A9E"/>
    <w:rsid w:val="00BF2E5D"/>
    <w:rsid w:val="00BF3666"/>
    <w:rsid w:val="00BF3C4C"/>
    <w:rsid w:val="00BF3E59"/>
    <w:rsid w:val="00BF3EB2"/>
    <w:rsid w:val="00BF4079"/>
    <w:rsid w:val="00BF467A"/>
    <w:rsid w:val="00BF496C"/>
    <w:rsid w:val="00BF4CA3"/>
    <w:rsid w:val="00BF4EF9"/>
    <w:rsid w:val="00BF59BE"/>
    <w:rsid w:val="00BF5AF6"/>
    <w:rsid w:val="00BF6765"/>
    <w:rsid w:val="00BF6D72"/>
    <w:rsid w:val="00BF6F11"/>
    <w:rsid w:val="00BF76C2"/>
    <w:rsid w:val="00BF78BD"/>
    <w:rsid w:val="00BF7E94"/>
    <w:rsid w:val="00C002D2"/>
    <w:rsid w:val="00C003E0"/>
    <w:rsid w:val="00C005E0"/>
    <w:rsid w:val="00C00BEC"/>
    <w:rsid w:val="00C01E12"/>
    <w:rsid w:val="00C028F3"/>
    <w:rsid w:val="00C036E9"/>
    <w:rsid w:val="00C0377E"/>
    <w:rsid w:val="00C03D7A"/>
    <w:rsid w:val="00C03DF8"/>
    <w:rsid w:val="00C043E4"/>
    <w:rsid w:val="00C044D3"/>
    <w:rsid w:val="00C063A0"/>
    <w:rsid w:val="00C063AF"/>
    <w:rsid w:val="00C0641B"/>
    <w:rsid w:val="00C06948"/>
    <w:rsid w:val="00C06EC0"/>
    <w:rsid w:val="00C0715C"/>
    <w:rsid w:val="00C07A14"/>
    <w:rsid w:val="00C07AB8"/>
    <w:rsid w:val="00C07F61"/>
    <w:rsid w:val="00C10156"/>
    <w:rsid w:val="00C1028E"/>
    <w:rsid w:val="00C104AE"/>
    <w:rsid w:val="00C10612"/>
    <w:rsid w:val="00C112D8"/>
    <w:rsid w:val="00C12679"/>
    <w:rsid w:val="00C12D9B"/>
    <w:rsid w:val="00C13800"/>
    <w:rsid w:val="00C14264"/>
    <w:rsid w:val="00C14934"/>
    <w:rsid w:val="00C14E69"/>
    <w:rsid w:val="00C14EDB"/>
    <w:rsid w:val="00C1533C"/>
    <w:rsid w:val="00C1542C"/>
    <w:rsid w:val="00C15A9C"/>
    <w:rsid w:val="00C164D8"/>
    <w:rsid w:val="00C16696"/>
    <w:rsid w:val="00C1697A"/>
    <w:rsid w:val="00C17028"/>
    <w:rsid w:val="00C17AB7"/>
    <w:rsid w:val="00C17DB0"/>
    <w:rsid w:val="00C20616"/>
    <w:rsid w:val="00C20EA6"/>
    <w:rsid w:val="00C20EC3"/>
    <w:rsid w:val="00C210CF"/>
    <w:rsid w:val="00C211FB"/>
    <w:rsid w:val="00C21615"/>
    <w:rsid w:val="00C2180D"/>
    <w:rsid w:val="00C2282F"/>
    <w:rsid w:val="00C238C5"/>
    <w:rsid w:val="00C23FE6"/>
    <w:rsid w:val="00C243C3"/>
    <w:rsid w:val="00C247B8"/>
    <w:rsid w:val="00C248A8"/>
    <w:rsid w:val="00C258F2"/>
    <w:rsid w:val="00C265B8"/>
    <w:rsid w:val="00C2675D"/>
    <w:rsid w:val="00C27F52"/>
    <w:rsid w:val="00C27FA4"/>
    <w:rsid w:val="00C31356"/>
    <w:rsid w:val="00C3184D"/>
    <w:rsid w:val="00C31895"/>
    <w:rsid w:val="00C31BE3"/>
    <w:rsid w:val="00C3287C"/>
    <w:rsid w:val="00C3299C"/>
    <w:rsid w:val="00C33B60"/>
    <w:rsid w:val="00C3447F"/>
    <w:rsid w:val="00C34E11"/>
    <w:rsid w:val="00C35078"/>
    <w:rsid w:val="00C36126"/>
    <w:rsid w:val="00C3637F"/>
    <w:rsid w:val="00C37021"/>
    <w:rsid w:val="00C3728E"/>
    <w:rsid w:val="00C37302"/>
    <w:rsid w:val="00C37393"/>
    <w:rsid w:val="00C373DE"/>
    <w:rsid w:val="00C37A77"/>
    <w:rsid w:val="00C37B08"/>
    <w:rsid w:val="00C37ECF"/>
    <w:rsid w:val="00C402EB"/>
    <w:rsid w:val="00C406AD"/>
    <w:rsid w:val="00C40826"/>
    <w:rsid w:val="00C40C3D"/>
    <w:rsid w:val="00C4153F"/>
    <w:rsid w:val="00C4156B"/>
    <w:rsid w:val="00C419C3"/>
    <w:rsid w:val="00C42026"/>
    <w:rsid w:val="00C421B3"/>
    <w:rsid w:val="00C429EE"/>
    <w:rsid w:val="00C42B0E"/>
    <w:rsid w:val="00C42C99"/>
    <w:rsid w:val="00C43B41"/>
    <w:rsid w:val="00C43D01"/>
    <w:rsid w:val="00C43D0E"/>
    <w:rsid w:val="00C44994"/>
    <w:rsid w:val="00C44BFB"/>
    <w:rsid w:val="00C4561A"/>
    <w:rsid w:val="00C456A0"/>
    <w:rsid w:val="00C457BA"/>
    <w:rsid w:val="00C458DC"/>
    <w:rsid w:val="00C46198"/>
    <w:rsid w:val="00C47385"/>
    <w:rsid w:val="00C473C5"/>
    <w:rsid w:val="00C50854"/>
    <w:rsid w:val="00C50942"/>
    <w:rsid w:val="00C51004"/>
    <w:rsid w:val="00C5107C"/>
    <w:rsid w:val="00C51631"/>
    <w:rsid w:val="00C51F52"/>
    <w:rsid w:val="00C52123"/>
    <w:rsid w:val="00C52927"/>
    <w:rsid w:val="00C52E8B"/>
    <w:rsid w:val="00C538DF"/>
    <w:rsid w:val="00C546A6"/>
    <w:rsid w:val="00C54CE6"/>
    <w:rsid w:val="00C55776"/>
    <w:rsid w:val="00C55F5F"/>
    <w:rsid w:val="00C57BE7"/>
    <w:rsid w:val="00C6028B"/>
    <w:rsid w:val="00C60D25"/>
    <w:rsid w:val="00C6108F"/>
    <w:rsid w:val="00C614BA"/>
    <w:rsid w:val="00C6169C"/>
    <w:rsid w:val="00C620E4"/>
    <w:rsid w:val="00C622B5"/>
    <w:rsid w:val="00C62649"/>
    <w:rsid w:val="00C629CC"/>
    <w:rsid w:val="00C62F12"/>
    <w:rsid w:val="00C63D7A"/>
    <w:rsid w:val="00C642FD"/>
    <w:rsid w:val="00C646CA"/>
    <w:rsid w:val="00C649D2"/>
    <w:rsid w:val="00C64C62"/>
    <w:rsid w:val="00C64EA5"/>
    <w:rsid w:val="00C64FA3"/>
    <w:rsid w:val="00C6553B"/>
    <w:rsid w:val="00C659BA"/>
    <w:rsid w:val="00C65E7D"/>
    <w:rsid w:val="00C667B3"/>
    <w:rsid w:val="00C67B55"/>
    <w:rsid w:val="00C71B54"/>
    <w:rsid w:val="00C71E10"/>
    <w:rsid w:val="00C72ADD"/>
    <w:rsid w:val="00C733C7"/>
    <w:rsid w:val="00C733D8"/>
    <w:rsid w:val="00C73685"/>
    <w:rsid w:val="00C73C1D"/>
    <w:rsid w:val="00C73DD1"/>
    <w:rsid w:val="00C73FF5"/>
    <w:rsid w:val="00C75D2D"/>
    <w:rsid w:val="00C76869"/>
    <w:rsid w:val="00C774A1"/>
    <w:rsid w:val="00C775CB"/>
    <w:rsid w:val="00C77B65"/>
    <w:rsid w:val="00C77F3A"/>
    <w:rsid w:val="00C800A2"/>
    <w:rsid w:val="00C801D6"/>
    <w:rsid w:val="00C801F9"/>
    <w:rsid w:val="00C80783"/>
    <w:rsid w:val="00C808A1"/>
    <w:rsid w:val="00C81748"/>
    <w:rsid w:val="00C81AE5"/>
    <w:rsid w:val="00C8235B"/>
    <w:rsid w:val="00C825F0"/>
    <w:rsid w:val="00C82694"/>
    <w:rsid w:val="00C82C77"/>
    <w:rsid w:val="00C83365"/>
    <w:rsid w:val="00C837CA"/>
    <w:rsid w:val="00C83852"/>
    <w:rsid w:val="00C83ACB"/>
    <w:rsid w:val="00C83B0B"/>
    <w:rsid w:val="00C84172"/>
    <w:rsid w:val="00C86466"/>
    <w:rsid w:val="00C86720"/>
    <w:rsid w:val="00C86A9D"/>
    <w:rsid w:val="00C86C56"/>
    <w:rsid w:val="00C87135"/>
    <w:rsid w:val="00C87331"/>
    <w:rsid w:val="00C87451"/>
    <w:rsid w:val="00C874E5"/>
    <w:rsid w:val="00C87913"/>
    <w:rsid w:val="00C87955"/>
    <w:rsid w:val="00C87B76"/>
    <w:rsid w:val="00C902AE"/>
    <w:rsid w:val="00C90C70"/>
    <w:rsid w:val="00C90DCF"/>
    <w:rsid w:val="00C90FEE"/>
    <w:rsid w:val="00C91D1E"/>
    <w:rsid w:val="00C92985"/>
    <w:rsid w:val="00C92EFB"/>
    <w:rsid w:val="00C93244"/>
    <w:rsid w:val="00C9326E"/>
    <w:rsid w:val="00C934FC"/>
    <w:rsid w:val="00C937AF"/>
    <w:rsid w:val="00C9409C"/>
    <w:rsid w:val="00C9413F"/>
    <w:rsid w:val="00C942B8"/>
    <w:rsid w:val="00C9475F"/>
    <w:rsid w:val="00C94BED"/>
    <w:rsid w:val="00C94FC5"/>
    <w:rsid w:val="00C95731"/>
    <w:rsid w:val="00C960C2"/>
    <w:rsid w:val="00C964C1"/>
    <w:rsid w:val="00C96EBD"/>
    <w:rsid w:val="00C97B43"/>
    <w:rsid w:val="00C97E28"/>
    <w:rsid w:val="00C97EF3"/>
    <w:rsid w:val="00CA0201"/>
    <w:rsid w:val="00CA03E7"/>
    <w:rsid w:val="00CA0AD1"/>
    <w:rsid w:val="00CA109E"/>
    <w:rsid w:val="00CA2840"/>
    <w:rsid w:val="00CA3099"/>
    <w:rsid w:val="00CA4CF4"/>
    <w:rsid w:val="00CA4DD2"/>
    <w:rsid w:val="00CA50C9"/>
    <w:rsid w:val="00CA57AC"/>
    <w:rsid w:val="00CA592A"/>
    <w:rsid w:val="00CA5AB5"/>
    <w:rsid w:val="00CA75E0"/>
    <w:rsid w:val="00CA7D0A"/>
    <w:rsid w:val="00CB0370"/>
    <w:rsid w:val="00CB0AFC"/>
    <w:rsid w:val="00CB0CFB"/>
    <w:rsid w:val="00CB1B77"/>
    <w:rsid w:val="00CB254D"/>
    <w:rsid w:val="00CB2BDF"/>
    <w:rsid w:val="00CB30FB"/>
    <w:rsid w:val="00CB318D"/>
    <w:rsid w:val="00CB431B"/>
    <w:rsid w:val="00CB456E"/>
    <w:rsid w:val="00CB4F1E"/>
    <w:rsid w:val="00CB7213"/>
    <w:rsid w:val="00CB7838"/>
    <w:rsid w:val="00CC0005"/>
    <w:rsid w:val="00CC09C6"/>
    <w:rsid w:val="00CC0ABF"/>
    <w:rsid w:val="00CC0CA1"/>
    <w:rsid w:val="00CC1105"/>
    <w:rsid w:val="00CC1433"/>
    <w:rsid w:val="00CC1734"/>
    <w:rsid w:val="00CC1972"/>
    <w:rsid w:val="00CC1E36"/>
    <w:rsid w:val="00CC2111"/>
    <w:rsid w:val="00CC22DA"/>
    <w:rsid w:val="00CC282A"/>
    <w:rsid w:val="00CC2877"/>
    <w:rsid w:val="00CC385E"/>
    <w:rsid w:val="00CC3965"/>
    <w:rsid w:val="00CC45B8"/>
    <w:rsid w:val="00CC4D3F"/>
    <w:rsid w:val="00CC616C"/>
    <w:rsid w:val="00CC6C02"/>
    <w:rsid w:val="00CC77ED"/>
    <w:rsid w:val="00CC7AAD"/>
    <w:rsid w:val="00CC7DA4"/>
    <w:rsid w:val="00CC7FAF"/>
    <w:rsid w:val="00CD0929"/>
    <w:rsid w:val="00CD0B09"/>
    <w:rsid w:val="00CD1D57"/>
    <w:rsid w:val="00CD2176"/>
    <w:rsid w:val="00CD310A"/>
    <w:rsid w:val="00CD3A40"/>
    <w:rsid w:val="00CD3B3E"/>
    <w:rsid w:val="00CD4449"/>
    <w:rsid w:val="00CD5124"/>
    <w:rsid w:val="00CD5A46"/>
    <w:rsid w:val="00CD5C8A"/>
    <w:rsid w:val="00CD60D6"/>
    <w:rsid w:val="00CD6FEC"/>
    <w:rsid w:val="00CD740E"/>
    <w:rsid w:val="00CE06B8"/>
    <w:rsid w:val="00CE0B60"/>
    <w:rsid w:val="00CE0C0E"/>
    <w:rsid w:val="00CE0D34"/>
    <w:rsid w:val="00CE0FCB"/>
    <w:rsid w:val="00CE1D72"/>
    <w:rsid w:val="00CE1FE1"/>
    <w:rsid w:val="00CE2511"/>
    <w:rsid w:val="00CE2567"/>
    <w:rsid w:val="00CE2EC0"/>
    <w:rsid w:val="00CE351E"/>
    <w:rsid w:val="00CE38AC"/>
    <w:rsid w:val="00CE3D5C"/>
    <w:rsid w:val="00CE4BDE"/>
    <w:rsid w:val="00CE4C49"/>
    <w:rsid w:val="00CE4ED0"/>
    <w:rsid w:val="00CE4F05"/>
    <w:rsid w:val="00CE59A0"/>
    <w:rsid w:val="00CE5F6C"/>
    <w:rsid w:val="00CE60FE"/>
    <w:rsid w:val="00CE68F0"/>
    <w:rsid w:val="00CE7867"/>
    <w:rsid w:val="00CE7FEC"/>
    <w:rsid w:val="00CF02E4"/>
    <w:rsid w:val="00CF088C"/>
    <w:rsid w:val="00CF0B8E"/>
    <w:rsid w:val="00CF12AD"/>
    <w:rsid w:val="00CF1D8C"/>
    <w:rsid w:val="00CF2351"/>
    <w:rsid w:val="00CF39EE"/>
    <w:rsid w:val="00CF41DB"/>
    <w:rsid w:val="00CF536C"/>
    <w:rsid w:val="00CF538C"/>
    <w:rsid w:val="00CF54D7"/>
    <w:rsid w:val="00CF5F59"/>
    <w:rsid w:val="00CF6EE1"/>
    <w:rsid w:val="00CF72AC"/>
    <w:rsid w:val="00CF7C2E"/>
    <w:rsid w:val="00D00A1C"/>
    <w:rsid w:val="00D012D0"/>
    <w:rsid w:val="00D029CC"/>
    <w:rsid w:val="00D02DF9"/>
    <w:rsid w:val="00D03491"/>
    <w:rsid w:val="00D03DC0"/>
    <w:rsid w:val="00D040C4"/>
    <w:rsid w:val="00D050CD"/>
    <w:rsid w:val="00D05929"/>
    <w:rsid w:val="00D05CA9"/>
    <w:rsid w:val="00D05F41"/>
    <w:rsid w:val="00D0673A"/>
    <w:rsid w:val="00D07E18"/>
    <w:rsid w:val="00D1099E"/>
    <w:rsid w:val="00D1145B"/>
    <w:rsid w:val="00D11B4C"/>
    <w:rsid w:val="00D11CAE"/>
    <w:rsid w:val="00D11D8D"/>
    <w:rsid w:val="00D12508"/>
    <w:rsid w:val="00D1252A"/>
    <w:rsid w:val="00D1276D"/>
    <w:rsid w:val="00D13047"/>
    <w:rsid w:val="00D13277"/>
    <w:rsid w:val="00D146B1"/>
    <w:rsid w:val="00D14A2F"/>
    <w:rsid w:val="00D14AD9"/>
    <w:rsid w:val="00D1514A"/>
    <w:rsid w:val="00D15522"/>
    <w:rsid w:val="00D15938"/>
    <w:rsid w:val="00D15B73"/>
    <w:rsid w:val="00D15F82"/>
    <w:rsid w:val="00D16286"/>
    <w:rsid w:val="00D16664"/>
    <w:rsid w:val="00D16F26"/>
    <w:rsid w:val="00D16F68"/>
    <w:rsid w:val="00D17B25"/>
    <w:rsid w:val="00D17BD4"/>
    <w:rsid w:val="00D20226"/>
    <w:rsid w:val="00D20F75"/>
    <w:rsid w:val="00D21355"/>
    <w:rsid w:val="00D22148"/>
    <w:rsid w:val="00D23127"/>
    <w:rsid w:val="00D23755"/>
    <w:rsid w:val="00D240C1"/>
    <w:rsid w:val="00D24767"/>
    <w:rsid w:val="00D2548D"/>
    <w:rsid w:val="00D25564"/>
    <w:rsid w:val="00D25A2F"/>
    <w:rsid w:val="00D25A7C"/>
    <w:rsid w:val="00D25CEA"/>
    <w:rsid w:val="00D266E3"/>
    <w:rsid w:val="00D270F5"/>
    <w:rsid w:val="00D27884"/>
    <w:rsid w:val="00D27931"/>
    <w:rsid w:val="00D27E50"/>
    <w:rsid w:val="00D30765"/>
    <w:rsid w:val="00D30F53"/>
    <w:rsid w:val="00D30FD2"/>
    <w:rsid w:val="00D3133E"/>
    <w:rsid w:val="00D313E7"/>
    <w:rsid w:val="00D31EA7"/>
    <w:rsid w:val="00D32824"/>
    <w:rsid w:val="00D32B16"/>
    <w:rsid w:val="00D32BA7"/>
    <w:rsid w:val="00D32BF0"/>
    <w:rsid w:val="00D33F20"/>
    <w:rsid w:val="00D34656"/>
    <w:rsid w:val="00D348F6"/>
    <w:rsid w:val="00D34EDA"/>
    <w:rsid w:val="00D34F6F"/>
    <w:rsid w:val="00D351F4"/>
    <w:rsid w:val="00D35521"/>
    <w:rsid w:val="00D35758"/>
    <w:rsid w:val="00D35B13"/>
    <w:rsid w:val="00D365B2"/>
    <w:rsid w:val="00D36865"/>
    <w:rsid w:val="00D36EA3"/>
    <w:rsid w:val="00D37BD8"/>
    <w:rsid w:val="00D37F9E"/>
    <w:rsid w:val="00D40114"/>
    <w:rsid w:val="00D40336"/>
    <w:rsid w:val="00D41ACE"/>
    <w:rsid w:val="00D42026"/>
    <w:rsid w:val="00D42040"/>
    <w:rsid w:val="00D42330"/>
    <w:rsid w:val="00D42590"/>
    <w:rsid w:val="00D42627"/>
    <w:rsid w:val="00D42754"/>
    <w:rsid w:val="00D43386"/>
    <w:rsid w:val="00D43FBB"/>
    <w:rsid w:val="00D44417"/>
    <w:rsid w:val="00D44AC1"/>
    <w:rsid w:val="00D4577E"/>
    <w:rsid w:val="00D457F7"/>
    <w:rsid w:val="00D45933"/>
    <w:rsid w:val="00D45976"/>
    <w:rsid w:val="00D462B1"/>
    <w:rsid w:val="00D46926"/>
    <w:rsid w:val="00D46CE6"/>
    <w:rsid w:val="00D46FB9"/>
    <w:rsid w:val="00D47BFD"/>
    <w:rsid w:val="00D47C18"/>
    <w:rsid w:val="00D47D2D"/>
    <w:rsid w:val="00D47E6F"/>
    <w:rsid w:val="00D50CEE"/>
    <w:rsid w:val="00D51755"/>
    <w:rsid w:val="00D51967"/>
    <w:rsid w:val="00D52558"/>
    <w:rsid w:val="00D52626"/>
    <w:rsid w:val="00D52651"/>
    <w:rsid w:val="00D52D75"/>
    <w:rsid w:val="00D533E4"/>
    <w:rsid w:val="00D536E8"/>
    <w:rsid w:val="00D537E7"/>
    <w:rsid w:val="00D53AB2"/>
    <w:rsid w:val="00D544AA"/>
    <w:rsid w:val="00D54A63"/>
    <w:rsid w:val="00D5588C"/>
    <w:rsid w:val="00D5655F"/>
    <w:rsid w:val="00D56851"/>
    <w:rsid w:val="00D56DE6"/>
    <w:rsid w:val="00D57A10"/>
    <w:rsid w:val="00D57C01"/>
    <w:rsid w:val="00D57C4E"/>
    <w:rsid w:val="00D57CF0"/>
    <w:rsid w:val="00D6017D"/>
    <w:rsid w:val="00D6067D"/>
    <w:rsid w:val="00D617B3"/>
    <w:rsid w:val="00D6192D"/>
    <w:rsid w:val="00D61BE5"/>
    <w:rsid w:val="00D62CB4"/>
    <w:rsid w:val="00D63A93"/>
    <w:rsid w:val="00D63B0C"/>
    <w:rsid w:val="00D63C22"/>
    <w:rsid w:val="00D63F1D"/>
    <w:rsid w:val="00D64067"/>
    <w:rsid w:val="00D64705"/>
    <w:rsid w:val="00D64C31"/>
    <w:rsid w:val="00D65184"/>
    <w:rsid w:val="00D65793"/>
    <w:rsid w:val="00D65FC4"/>
    <w:rsid w:val="00D661B2"/>
    <w:rsid w:val="00D67277"/>
    <w:rsid w:val="00D672ED"/>
    <w:rsid w:val="00D67A17"/>
    <w:rsid w:val="00D67BC9"/>
    <w:rsid w:val="00D704CC"/>
    <w:rsid w:val="00D70733"/>
    <w:rsid w:val="00D7097D"/>
    <w:rsid w:val="00D72083"/>
    <w:rsid w:val="00D722A1"/>
    <w:rsid w:val="00D72DEB"/>
    <w:rsid w:val="00D72E63"/>
    <w:rsid w:val="00D73312"/>
    <w:rsid w:val="00D733F2"/>
    <w:rsid w:val="00D73CCA"/>
    <w:rsid w:val="00D73E68"/>
    <w:rsid w:val="00D74234"/>
    <w:rsid w:val="00D76010"/>
    <w:rsid w:val="00D7637C"/>
    <w:rsid w:val="00D763A9"/>
    <w:rsid w:val="00D76751"/>
    <w:rsid w:val="00D76EB0"/>
    <w:rsid w:val="00D7703A"/>
    <w:rsid w:val="00D77AC7"/>
    <w:rsid w:val="00D77B7A"/>
    <w:rsid w:val="00D77C27"/>
    <w:rsid w:val="00D77D87"/>
    <w:rsid w:val="00D80536"/>
    <w:rsid w:val="00D805B3"/>
    <w:rsid w:val="00D80633"/>
    <w:rsid w:val="00D8086C"/>
    <w:rsid w:val="00D80936"/>
    <w:rsid w:val="00D80F8D"/>
    <w:rsid w:val="00D81787"/>
    <w:rsid w:val="00D81D08"/>
    <w:rsid w:val="00D81F5B"/>
    <w:rsid w:val="00D835B5"/>
    <w:rsid w:val="00D83AC5"/>
    <w:rsid w:val="00D83CDC"/>
    <w:rsid w:val="00D841A0"/>
    <w:rsid w:val="00D8547E"/>
    <w:rsid w:val="00D858CF"/>
    <w:rsid w:val="00D86D8A"/>
    <w:rsid w:val="00D87634"/>
    <w:rsid w:val="00D9030F"/>
    <w:rsid w:val="00D90524"/>
    <w:rsid w:val="00D90547"/>
    <w:rsid w:val="00D90C88"/>
    <w:rsid w:val="00D91305"/>
    <w:rsid w:val="00D919F7"/>
    <w:rsid w:val="00D91D03"/>
    <w:rsid w:val="00D91E78"/>
    <w:rsid w:val="00D92060"/>
    <w:rsid w:val="00D923DE"/>
    <w:rsid w:val="00D92E54"/>
    <w:rsid w:val="00D92EDF"/>
    <w:rsid w:val="00D93050"/>
    <w:rsid w:val="00D9369C"/>
    <w:rsid w:val="00D93ADF"/>
    <w:rsid w:val="00D94708"/>
    <w:rsid w:val="00D94AB5"/>
    <w:rsid w:val="00D95167"/>
    <w:rsid w:val="00D9664C"/>
    <w:rsid w:val="00D96998"/>
    <w:rsid w:val="00D969FD"/>
    <w:rsid w:val="00D97499"/>
    <w:rsid w:val="00DA087C"/>
    <w:rsid w:val="00DA0BA0"/>
    <w:rsid w:val="00DA1B64"/>
    <w:rsid w:val="00DA1B7E"/>
    <w:rsid w:val="00DA261D"/>
    <w:rsid w:val="00DA2810"/>
    <w:rsid w:val="00DA34E9"/>
    <w:rsid w:val="00DA371F"/>
    <w:rsid w:val="00DA39A2"/>
    <w:rsid w:val="00DA4102"/>
    <w:rsid w:val="00DA45E1"/>
    <w:rsid w:val="00DA466F"/>
    <w:rsid w:val="00DA4A01"/>
    <w:rsid w:val="00DA4DB4"/>
    <w:rsid w:val="00DA501E"/>
    <w:rsid w:val="00DA5CC7"/>
    <w:rsid w:val="00DA5DAE"/>
    <w:rsid w:val="00DA613F"/>
    <w:rsid w:val="00DA642A"/>
    <w:rsid w:val="00DA694E"/>
    <w:rsid w:val="00DA6973"/>
    <w:rsid w:val="00DA6C6B"/>
    <w:rsid w:val="00DA6FD6"/>
    <w:rsid w:val="00DA77CF"/>
    <w:rsid w:val="00DA7B55"/>
    <w:rsid w:val="00DA7CC0"/>
    <w:rsid w:val="00DA7FBC"/>
    <w:rsid w:val="00DB00A4"/>
    <w:rsid w:val="00DB0347"/>
    <w:rsid w:val="00DB0501"/>
    <w:rsid w:val="00DB056D"/>
    <w:rsid w:val="00DB1517"/>
    <w:rsid w:val="00DB19CB"/>
    <w:rsid w:val="00DB23BA"/>
    <w:rsid w:val="00DB2828"/>
    <w:rsid w:val="00DB2AFC"/>
    <w:rsid w:val="00DB2B58"/>
    <w:rsid w:val="00DB2C25"/>
    <w:rsid w:val="00DB2C2E"/>
    <w:rsid w:val="00DB3525"/>
    <w:rsid w:val="00DB36FC"/>
    <w:rsid w:val="00DB3B79"/>
    <w:rsid w:val="00DB442F"/>
    <w:rsid w:val="00DB4485"/>
    <w:rsid w:val="00DB44B4"/>
    <w:rsid w:val="00DB4789"/>
    <w:rsid w:val="00DB507E"/>
    <w:rsid w:val="00DB55BA"/>
    <w:rsid w:val="00DB5CA1"/>
    <w:rsid w:val="00DB60F8"/>
    <w:rsid w:val="00DB67C2"/>
    <w:rsid w:val="00DB6EBB"/>
    <w:rsid w:val="00DB7428"/>
    <w:rsid w:val="00DC1720"/>
    <w:rsid w:val="00DC264F"/>
    <w:rsid w:val="00DC2712"/>
    <w:rsid w:val="00DC2950"/>
    <w:rsid w:val="00DC2B24"/>
    <w:rsid w:val="00DC3CC5"/>
    <w:rsid w:val="00DC3DB1"/>
    <w:rsid w:val="00DC4034"/>
    <w:rsid w:val="00DC454A"/>
    <w:rsid w:val="00DC4B2F"/>
    <w:rsid w:val="00DC4D1A"/>
    <w:rsid w:val="00DC528D"/>
    <w:rsid w:val="00DC6AFC"/>
    <w:rsid w:val="00DC6BE6"/>
    <w:rsid w:val="00DC7196"/>
    <w:rsid w:val="00DD016C"/>
    <w:rsid w:val="00DD025C"/>
    <w:rsid w:val="00DD0360"/>
    <w:rsid w:val="00DD03A3"/>
    <w:rsid w:val="00DD1178"/>
    <w:rsid w:val="00DD1870"/>
    <w:rsid w:val="00DD18FB"/>
    <w:rsid w:val="00DD1A77"/>
    <w:rsid w:val="00DD3876"/>
    <w:rsid w:val="00DD392B"/>
    <w:rsid w:val="00DD4551"/>
    <w:rsid w:val="00DD46AB"/>
    <w:rsid w:val="00DD46C3"/>
    <w:rsid w:val="00DD48B0"/>
    <w:rsid w:val="00DD50AD"/>
    <w:rsid w:val="00DD5671"/>
    <w:rsid w:val="00DD622B"/>
    <w:rsid w:val="00DD694C"/>
    <w:rsid w:val="00DD6C19"/>
    <w:rsid w:val="00DD72D6"/>
    <w:rsid w:val="00DD7BBF"/>
    <w:rsid w:val="00DE00C4"/>
    <w:rsid w:val="00DE0775"/>
    <w:rsid w:val="00DE118D"/>
    <w:rsid w:val="00DE163A"/>
    <w:rsid w:val="00DE16B2"/>
    <w:rsid w:val="00DE197B"/>
    <w:rsid w:val="00DE1C2D"/>
    <w:rsid w:val="00DE226F"/>
    <w:rsid w:val="00DE2428"/>
    <w:rsid w:val="00DE2785"/>
    <w:rsid w:val="00DE2E04"/>
    <w:rsid w:val="00DE3523"/>
    <w:rsid w:val="00DE3A32"/>
    <w:rsid w:val="00DE3BC3"/>
    <w:rsid w:val="00DE41EC"/>
    <w:rsid w:val="00DE4579"/>
    <w:rsid w:val="00DE49ED"/>
    <w:rsid w:val="00DE5216"/>
    <w:rsid w:val="00DE5BF8"/>
    <w:rsid w:val="00DE6210"/>
    <w:rsid w:val="00DE7264"/>
    <w:rsid w:val="00DE748C"/>
    <w:rsid w:val="00DF0461"/>
    <w:rsid w:val="00DF0576"/>
    <w:rsid w:val="00DF06DC"/>
    <w:rsid w:val="00DF0997"/>
    <w:rsid w:val="00DF100A"/>
    <w:rsid w:val="00DF11AE"/>
    <w:rsid w:val="00DF17CF"/>
    <w:rsid w:val="00DF1DE3"/>
    <w:rsid w:val="00DF201F"/>
    <w:rsid w:val="00DF20EF"/>
    <w:rsid w:val="00DF2484"/>
    <w:rsid w:val="00DF261E"/>
    <w:rsid w:val="00DF3ADA"/>
    <w:rsid w:val="00DF3D5D"/>
    <w:rsid w:val="00DF465C"/>
    <w:rsid w:val="00DF4D05"/>
    <w:rsid w:val="00DF4EBE"/>
    <w:rsid w:val="00DF5E08"/>
    <w:rsid w:val="00DF5E6E"/>
    <w:rsid w:val="00DF6269"/>
    <w:rsid w:val="00DF63D2"/>
    <w:rsid w:val="00DF6625"/>
    <w:rsid w:val="00DF66AB"/>
    <w:rsid w:val="00DF66EC"/>
    <w:rsid w:val="00DF6831"/>
    <w:rsid w:val="00DF720B"/>
    <w:rsid w:val="00DF77D0"/>
    <w:rsid w:val="00E00186"/>
    <w:rsid w:val="00E00A1B"/>
    <w:rsid w:val="00E00D3B"/>
    <w:rsid w:val="00E00F0E"/>
    <w:rsid w:val="00E0104C"/>
    <w:rsid w:val="00E01375"/>
    <w:rsid w:val="00E01490"/>
    <w:rsid w:val="00E01533"/>
    <w:rsid w:val="00E01789"/>
    <w:rsid w:val="00E01C85"/>
    <w:rsid w:val="00E01F95"/>
    <w:rsid w:val="00E03581"/>
    <w:rsid w:val="00E03598"/>
    <w:rsid w:val="00E04034"/>
    <w:rsid w:val="00E040FD"/>
    <w:rsid w:val="00E045EA"/>
    <w:rsid w:val="00E04F47"/>
    <w:rsid w:val="00E04FC1"/>
    <w:rsid w:val="00E055A7"/>
    <w:rsid w:val="00E05E8B"/>
    <w:rsid w:val="00E06322"/>
    <w:rsid w:val="00E06F89"/>
    <w:rsid w:val="00E07201"/>
    <w:rsid w:val="00E0795A"/>
    <w:rsid w:val="00E07A1D"/>
    <w:rsid w:val="00E07A64"/>
    <w:rsid w:val="00E1081A"/>
    <w:rsid w:val="00E10827"/>
    <w:rsid w:val="00E1175B"/>
    <w:rsid w:val="00E11C35"/>
    <w:rsid w:val="00E11CBF"/>
    <w:rsid w:val="00E11DED"/>
    <w:rsid w:val="00E11FBF"/>
    <w:rsid w:val="00E1220D"/>
    <w:rsid w:val="00E12432"/>
    <w:rsid w:val="00E12910"/>
    <w:rsid w:val="00E1294A"/>
    <w:rsid w:val="00E12BF8"/>
    <w:rsid w:val="00E12FED"/>
    <w:rsid w:val="00E139AA"/>
    <w:rsid w:val="00E140FE"/>
    <w:rsid w:val="00E1436D"/>
    <w:rsid w:val="00E155E7"/>
    <w:rsid w:val="00E16CBB"/>
    <w:rsid w:val="00E178E6"/>
    <w:rsid w:val="00E17DE5"/>
    <w:rsid w:val="00E2017B"/>
    <w:rsid w:val="00E2089A"/>
    <w:rsid w:val="00E208CA"/>
    <w:rsid w:val="00E20A8C"/>
    <w:rsid w:val="00E20E03"/>
    <w:rsid w:val="00E20FA0"/>
    <w:rsid w:val="00E21C94"/>
    <w:rsid w:val="00E23ADB"/>
    <w:rsid w:val="00E24511"/>
    <w:rsid w:val="00E24A4D"/>
    <w:rsid w:val="00E25DD9"/>
    <w:rsid w:val="00E2692B"/>
    <w:rsid w:val="00E27428"/>
    <w:rsid w:val="00E27B78"/>
    <w:rsid w:val="00E27D2E"/>
    <w:rsid w:val="00E30075"/>
    <w:rsid w:val="00E30094"/>
    <w:rsid w:val="00E3078A"/>
    <w:rsid w:val="00E3092D"/>
    <w:rsid w:val="00E30B4C"/>
    <w:rsid w:val="00E312A1"/>
    <w:rsid w:val="00E31C98"/>
    <w:rsid w:val="00E32B6F"/>
    <w:rsid w:val="00E33C21"/>
    <w:rsid w:val="00E33D6D"/>
    <w:rsid w:val="00E343D4"/>
    <w:rsid w:val="00E34B51"/>
    <w:rsid w:val="00E34DE1"/>
    <w:rsid w:val="00E3541D"/>
    <w:rsid w:val="00E35763"/>
    <w:rsid w:val="00E358C2"/>
    <w:rsid w:val="00E35CB5"/>
    <w:rsid w:val="00E36245"/>
    <w:rsid w:val="00E3651C"/>
    <w:rsid w:val="00E36770"/>
    <w:rsid w:val="00E3688C"/>
    <w:rsid w:val="00E36A09"/>
    <w:rsid w:val="00E37D7F"/>
    <w:rsid w:val="00E402B1"/>
    <w:rsid w:val="00E404D3"/>
    <w:rsid w:val="00E40673"/>
    <w:rsid w:val="00E40AED"/>
    <w:rsid w:val="00E40EEC"/>
    <w:rsid w:val="00E411F2"/>
    <w:rsid w:val="00E4164E"/>
    <w:rsid w:val="00E42004"/>
    <w:rsid w:val="00E423B3"/>
    <w:rsid w:val="00E42C6C"/>
    <w:rsid w:val="00E42F83"/>
    <w:rsid w:val="00E43BB2"/>
    <w:rsid w:val="00E448AA"/>
    <w:rsid w:val="00E44EBE"/>
    <w:rsid w:val="00E45572"/>
    <w:rsid w:val="00E45798"/>
    <w:rsid w:val="00E45C48"/>
    <w:rsid w:val="00E465CD"/>
    <w:rsid w:val="00E5005F"/>
    <w:rsid w:val="00E5025F"/>
    <w:rsid w:val="00E502AC"/>
    <w:rsid w:val="00E50B80"/>
    <w:rsid w:val="00E512EA"/>
    <w:rsid w:val="00E5188F"/>
    <w:rsid w:val="00E52FDE"/>
    <w:rsid w:val="00E5308C"/>
    <w:rsid w:val="00E530A4"/>
    <w:rsid w:val="00E54B18"/>
    <w:rsid w:val="00E54E60"/>
    <w:rsid w:val="00E54E64"/>
    <w:rsid w:val="00E54FDD"/>
    <w:rsid w:val="00E55049"/>
    <w:rsid w:val="00E5540D"/>
    <w:rsid w:val="00E5654D"/>
    <w:rsid w:val="00E567D4"/>
    <w:rsid w:val="00E57056"/>
    <w:rsid w:val="00E578E1"/>
    <w:rsid w:val="00E57B8F"/>
    <w:rsid w:val="00E57FE3"/>
    <w:rsid w:val="00E6235D"/>
    <w:rsid w:val="00E62360"/>
    <w:rsid w:val="00E62D9E"/>
    <w:rsid w:val="00E637A8"/>
    <w:rsid w:val="00E64EA8"/>
    <w:rsid w:val="00E66B29"/>
    <w:rsid w:val="00E6789D"/>
    <w:rsid w:val="00E70CAF"/>
    <w:rsid w:val="00E71033"/>
    <w:rsid w:val="00E7108D"/>
    <w:rsid w:val="00E71D54"/>
    <w:rsid w:val="00E71D78"/>
    <w:rsid w:val="00E71EBE"/>
    <w:rsid w:val="00E7203F"/>
    <w:rsid w:val="00E7289C"/>
    <w:rsid w:val="00E72C0A"/>
    <w:rsid w:val="00E7396D"/>
    <w:rsid w:val="00E73CF5"/>
    <w:rsid w:val="00E744D7"/>
    <w:rsid w:val="00E7496D"/>
    <w:rsid w:val="00E749AE"/>
    <w:rsid w:val="00E74EA3"/>
    <w:rsid w:val="00E75128"/>
    <w:rsid w:val="00E757C8"/>
    <w:rsid w:val="00E75AB8"/>
    <w:rsid w:val="00E75F08"/>
    <w:rsid w:val="00E762AB"/>
    <w:rsid w:val="00E76751"/>
    <w:rsid w:val="00E76BD1"/>
    <w:rsid w:val="00E76CA7"/>
    <w:rsid w:val="00E76D41"/>
    <w:rsid w:val="00E77137"/>
    <w:rsid w:val="00E775A5"/>
    <w:rsid w:val="00E77803"/>
    <w:rsid w:val="00E77941"/>
    <w:rsid w:val="00E77D03"/>
    <w:rsid w:val="00E807D9"/>
    <w:rsid w:val="00E80961"/>
    <w:rsid w:val="00E80F01"/>
    <w:rsid w:val="00E814A1"/>
    <w:rsid w:val="00E81CD1"/>
    <w:rsid w:val="00E82ED4"/>
    <w:rsid w:val="00E84545"/>
    <w:rsid w:val="00E852A9"/>
    <w:rsid w:val="00E856F2"/>
    <w:rsid w:val="00E8575E"/>
    <w:rsid w:val="00E85CE2"/>
    <w:rsid w:val="00E86565"/>
    <w:rsid w:val="00E86877"/>
    <w:rsid w:val="00E86951"/>
    <w:rsid w:val="00E87C5E"/>
    <w:rsid w:val="00E90063"/>
    <w:rsid w:val="00E9063C"/>
    <w:rsid w:val="00E90A85"/>
    <w:rsid w:val="00E913A7"/>
    <w:rsid w:val="00E915FF"/>
    <w:rsid w:val="00E917AE"/>
    <w:rsid w:val="00E918F2"/>
    <w:rsid w:val="00E91A89"/>
    <w:rsid w:val="00E91DF2"/>
    <w:rsid w:val="00E91FFC"/>
    <w:rsid w:val="00E92ACD"/>
    <w:rsid w:val="00E92C8D"/>
    <w:rsid w:val="00E92FA1"/>
    <w:rsid w:val="00E92FFA"/>
    <w:rsid w:val="00E9337A"/>
    <w:rsid w:val="00E933EA"/>
    <w:rsid w:val="00E93B91"/>
    <w:rsid w:val="00E9493D"/>
    <w:rsid w:val="00E96C92"/>
    <w:rsid w:val="00E9770A"/>
    <w:rsid w:val="00E97E02"/>
    <w:rsid w:val="00E97E82"/>
    <w:rsid w:val="00EA0B8E"/>
    <w:rsid w:val="00EA1437"/>
    <w:rsid w:val="00EA1DF2"/>
    <w:rsid w:val="00EA2353"/>
    <w:rsid w:val="00EA25AA"/>
    <w:rsid w:val="00EA2A46"/>
    <w:rsid w:val="00EA39A8"/>
    <w:rsid w:val="00EA3D42"/>
    <w:rsid w:val="00EA42BA"/>
    <w:rsid w:val="00EA52A1"/>
    <w:rsid w:val="00EA5530"/>
    <w:rsid w:val="00EA591D"/>
    <w:rsid w:val="00EA5A44"/>
    <w:rsid w:val="00EA5CCF"/>
    <w:rsid w:val="00EA69AF"/>
    <w:rsid w:val="00EB0C8A"/>
    <w:rsid w:val="00EB20E6"/>
    <w:rsid w:val="00EB3072"/>
    <w:rsid w:val="00EB32F0"/>
    <w:rsid w:val="00EB3512"/>
    <w:rsid w:val="00EB3C3C"/>
    <w:rsid w:val="00EB42CE"/>
    <w:rsid w:val="00EB45DE"/>
    <w:rsid w:val="00EB48B7"/>
    <w:rsid w:val="00EB5147"/>
    <w:rsid w:val="00EB51AA"/>
    <w:rsid w:val="00EB55F7"/>
    <w:rsid w:val="00EB5C12"/>
    <w:rsid w:val="00EB5F7B"/>
    <w:rsid w:val="00EB62AF"/>
    <w:rsid w:val="00EB634E"/>
    <w:rsid w:val="00EB63A0"/>
    <w:rsid w:val="00EB71A5"/>
    <w:rsid w:val="00EB7D2B"/>
    <w:rsid w:val="00EC02E8"/>
    <w:rsid w:val="00EC0ED6"/>
    <w:rsid w:val="00EC1B49"/>
    <w:rsid w:val="00EC1C43"/>
    <w:rsid w:val="00EC2394"/>
    <w:rsid w:val="00EC3244"/>
    <w:rsid w:val="00EC3E84"/>
    <w:rsid w:val="00EC43FB"/>
    <w:rsid w:val="00EC4A3E"/>
    <w:rsid w:val="00EC4B5D"/>
    <w:rsid w:val="00EC51A9"/>
    <w:rsid w:val="00EC5CE7"/>
    <w:rsid w:val="00EC60F3"/>
    <w:rsid w:val="00EC6434"/>
    <w:rsid w:val="00EC6538"/>
    <w:rsid w:val="00EC771D"/>
    <w:rsid w:val="00EC7FD2"/>
    <w:rsid w:val="00ED026F"/>
    <w:rsid w:val="00ED0A22"/>
    <w:rsid w:val="00ED327F"/>
    <w:rsid w:val="00ED3E1C"/>
    <w:rsid w:val="00ED3F51"/>
    <w:rsid w:val="00ED44E2"/>
    <w:rsid w:val="00ED4881"/>
    <w:rsid w:val="00ED4944"/>
    <w:rsid w:val="00ED4B3A"/>
    <w:rsid w:val="00ED4C6A"/>
    <w:rsid w:val="00ED569B"/>
    <w:rsid w:val="00ED5950"/>
    <w:rsid w:val="00ED5C20"/>
    <w:rsid w:val="00ED5E3C"/>
    <w:rsid w:val="00ED6827"/>
    <w:rsid w:val="00ED6F8B"/>
    <w:rsid w:val="00ED7168"/>
    <w:rsid w:val="00ED71ED"/>
    <w:rsid w:val="00ED7212"/>
    <w:rsid w:val="00ED7D8C"/>
    <w:rsid w:val="00ED7E13"/>
    <w:rsid w:val="00EE01F3"/>
    <w:rsid w:val="00EE037A"/>
    <w:rsid w:val="00EE0C7B"/>
    <w:rsid w:val="00EE1912"/>
    <w:rsid w:val="00EE1BB7"/>
    <w:rsid w:val="00EE1E8E"/>
    <w:rsid w:val="00EE201A"/>
    <w:rsid w:val="00EE27AB"/>
    <w:rsid w:val="00EE2976"/>
    <w:rsid w:val="00EE2BD1"/>
    <w:rsid w:val="00EE2E24"/>
    <w:rsid w:val="00EE3573"/>
    <w:rsid w:val="00EE3E8D"/>
    <w:rsid w:val="00EE492D"/>
    <w:rsid w:val="00EE4990"/>
    <w:rsid w:val="00EE5876"/>
    <w:rsid w:val="00EE5A71"/>
    <w:rsid w:val="00EE60E3"/>
    <w:rsid w:val="00EE626E"/>
    <w:rsid w:val="00EE6679"/>
    <w:rsid w:val="00EE6937"/>
    <w:rsid w:val="00EE6B2D"/>
    <w:rsid w:val="00EE6F23"/>
    <w:rsid w:val="00EE718B"/>
    <w:rsid w:val="00EF037F"/>
    <w:rsid w:val="00EF0785"/>
    <w:rsid w:val="00EF0C65"/>
    <w:rsid w:val="00EF1146"/>
    <w:rsid w:val="00EF12C2"/>
    <w:rsid w:val="00EF194F"/>
    <w:rsid w:val="00EF1B50"/>
    <w:rsid w:val="00EF1C67"/>
    <w:rsid w:val="00EF2937"/>
    <w:rsid w:val="00EF2C5C"/>
    <w:rsid w:val="00EF358B"/>
    <w:rsid w:val="00EF3643"/>
    <w:rsid w:val="00EF381C"/>
    <w:rsid w:val="00EF3C3A"/>
    <w:rsid w:val="00EF3F59"/>
    <w:rsid w:val="00EF4BBC"/>
    <w:rsid w:val="00EF665A"/>
    <w:rsid w:val="00EF73F4"/>
    <w:rsid w:val="00EF7EBA"/>
    <w:rsid w:val="00F002B2"/>
    <w:rsid w:val="00F01298"/>
    <w:rsid w:val="00F01734"/>
    <w:rsid w:val="00F024EC"/>
    <w:rsid w:val="00F025AD"/>
    <w:rsid w:val="00F029DC"/>
    <w:rsid w:val="00F02CC7"/>
    <w:rsid w:val="00F02E6D"/>
    <w:rsid w:val="00F037AB"/>
    <w:rsid w:val="00F03D43"/>
    <w:rsid w:val="00F03F9C"/>
    <w:rsid w:val="00F042B1"/>
    <w:rsid w:val="00F04A1D"/>
    <w:rsid w:val="00F04DD4"/>
    <w:rsid w:val="00F04F58"/>
    <w:rsid w:val="00F0528F"/>
    <w:rsid w:val="00F05361"/>
    <w:rsid w:val="00F05499"/>
    <w:rsid w:val="00F05706"/>
    <w:rsid w:val="00F05A28"/>
    <w:rsid w:val="00F05A9A"/>
    <w:rsid w:val="00F05D2E"/>
    <w:rsid w:val="00F05F8E"/>
    <w:rsid w:val="00F061AA"/>
    <w:rsid w:val="00F0655F"/>
    <w:rsid w:val="00F06D9B"/>
    <w:rsid w:val="00F06FEF"/>
    <w:rsid w:val="00F10D36"/>
    <w:rsid w:val="00F117CC"/>
    <w:rsid w:val="00F1186B"/>
    <w:rsid w:val="00F119E1"/>
    <w:rsid w:val="00F11CE3"/>
    <w:rsid w:val="00F11F27"/>
    <w:rsid w:val="00F125FA"/>
    <w:rsid w:val="00F12FAA"/>
    <w:rsid w:val="00F1420E"/>
    <w:rsid w:val="00F14442"/>
    <w:rsid w:val="00F14ACC"/>
    <w:rsid w:val="00F15019"/>
    <w:rsid w:val="00F165E8"/>
    <w:rsid w:val="00F16E07"/>
    <w:rsid w:val="00F170A9"/>
    <w:rsid w:val="00F17D75"/>
    <w:rsid w:val="00F203A3"/>
    <w:rsid w:val="00F20584"/>
    <w:rsid w:val="00F205BA"/>
    <w:rsid w:val="00F21878"/>
    <w:rsid w:val="00F21D6E"/>
    <w:rsid w:val="00F221BD"/>
    <w:rsid w:val="00F222F6"/>
    <w:rsid w:val="00F232C9"/>
    <w:rsid w:val="00F23D6F"/>
    <w:rsid w:val="00F23FC9"/>
    <w:rsid w:val="00F243CF"/>
    <w:rsid w:val="00F243D4"/>
    <w:rsid w:val="00F24B49"/>
    <w:rsid w:val="00F24CD2"/>
    <w:rsid w:val="00F25366"/>
    <w:rsid w:val="00F253E8"/>
    <w:rsid w:val="00F2574C"/>
    <w:rsid w:val="00F258AA"/>
    <w:rsid w:val="00F25ACC"/>
    <w:rsid w:val="00F25DAC"/>
    <w:rsid w:val="00F260B0"/>
    <w:rsid w:val="00F262DB"/>
    <w:rsid w:val="00F26C84"/>
    <w:rsid w:val="00F2741E"/>
    <w:rsid w:val="00F2795F"/>
    <w:rsid w:val="00F30169"/>
    <w:rsid w:val="00F30264"/>
    <w:rsid w:val="00F3064E"/>
    <w:rsid w:val="00F30A0B"/>
    <w:rsid w:val="00F31B12"/>
    <w:rsid w:val="00F32146"/>
    <w:rsid w:val="00F32AD8"/>
    <w:rsid w:val="00F3326B"/>
    <w:rsid w:val="00F33DD1"/>
    <w:rsid w:val="00F34382"/>
    <w:rsid w:val="00F34733"/>
    <w:rsid w:val="00F3488C"/>
    <w:rsid w:val="00F34BD4"/>
    <w:rsid w:val="00F34E51"/>
    <w:rsid w:val="00F34FA4"/>
    <w:rsid w:val="00F354EA"/>
    <w:rsid w:val="00F356B0"/>
    <w:rsid w:val="00F35712"/>
    <w:rsid w:val="00F35F6E"/>
    <w:rsid w:val="00F36AB0"/>
    <w:rsid w:val="00F37BB9"/>
    <w:rsid w:val="00F40445"/>
    <w:rsid w:val="00F406BD"/>
    <w:rsid w:val="00F40BFA"/>
    <w:rsid w:val="00F41868"/>
    <w:rsid w:val="00F41C64"/>
    <w:rsid w:val="00F425F8"/>
    <w:rsid w:val="00F4264C"/>
    <w:rsid w:val="00F42885"/>
    <w:rsid w:val="00F42EE4"/>
    <w:rsid w:val="00F43A2E"/>
    <w:rsid w:val="00F43C1E"/>
    <w:rsid w:val="00F44069"/>
    <w:rsid w:val="00F44209"/>
    <w:rsid w:val="00F44400"/>
    <w:rsid w:val="00F44A91"/>
    <w:rsid w:val="00F44F3D"/>
    <w:rsid w:val="00F4503F"/>
    <w:rsid w:val="00F45042"/>
    <w:rsid w:val="00F46317"/>
    <w:rsid w:val="00F4662F"/>
    <w:rsid w:val="00F46754"/>
    <w:rsid w:val="00F471ED"/>
    <w:rsid w:val="00F47A7F"/>
    <w:rsid w:val="00F5043C"/>
    <w:rsid w:val="00F50671"/>
    <w:rsid w:val="00F509C0"/>
    <w:rsid w:val="00F50A2C"/>
    <w:rsid w:val="00F515C8"/>
    <w:rsid w:val="00F52153"/>
    <w:rsid w:val="00F5264F"/>
    <w:rsid w:val="00F52AE1"/>
    <w:rsid w:val="00F52CA1"/>
    <w:rsid w:val="00F53041"/>
    <w:rsid w:val="00F53A07"/>
    <w:rsid w:val="00F53DE5"/>
    <w:rsid w:val="00F53EF9"/>
    <w:rsid w:val="00F54397"/>
    <w:rsid w:val="00F54819"/>
    <w:rsid w:val="00F54BAA"/>
    <w:rsid w:val="00F54D8C"/>
    <w:rsid w:val="00F552C3"/>
    <w:rsid w:val="00F553AB"/>
    <w:rsid w:val="00F55615"/>
    <w:rsid w:val="00F55729"/>
    <w:rsid w:val="00F55851"/>
    <w:rsid w:val="00F55C11"/>
    <w:rsid w:val="00F56182"/>
    <w:rsid w:val="00F563AA"/>
    <w:rsid w:val="00F5659C"/>
    <w:rsid w:val="00F56B0D"/>
    <w:rsid w:val="00F56B1D"/>
    <w:rsid w:val="00F56E55"/>
    <w:rsid w:val="00F56FFD"/>
    <w:rsid w:val="00F60372"/>
    <w:rsid w:val="00F603EB"/>
    <w:rsid w:val="00F60868"/>
    <w:rsid w:val="00F612F7"/>
    <w:rsid w:val="00F613DD"/>
    <w:rsid w:val="00F617EA"/>
    <w:rsid w:val="00F61EBC"/>
    <w:rsid w:val="00F6248F"/>
    <w:rsid w:val="00F626FA"/>
    <w:rsid w:val="00F6298C"/>
    <w:rsid w:val="00F62B81"/>
    <w:rsid w:val="00F62B8E"/>
    <w:rsid w:val="00F63AEC"/>
    <w:rsid w:val="00F63D9F"/>
    <w:rsid w:val="00F640EB"/>
    <w:rsid w:val="00F64D82"/>
    <w:rsid w:val="00F66652"/>
    <w:rsid w:val="00F66887"/>
    <w:rsid w:val="00F66DB0"/>
    <w:rsid w:val="00F66F4C"/>
    <w:rsid w:val="00F671A5"/>
    <w:rsid w:val="00F6729D"/>
    <w:rsid w:val="00F674F8"/>
    <w:rsid w:val="00F67745"/>
    <w:rsid w:val="00F67CEB"/>
    <w:rsid w:val="00F7010B"/>
    <w:rsid w:val="00F70285"/>
    <w:rsid w:val="00F70409"/>
    <w:rsid w:val="00F708A5"/>
    <w:rsid w:val="00F710EA"/>
    <w:rsid w:val="00F71FE5"/>
    <w:rsid w:val="00F721D3"/>
    <w:rsid w:val="00F72586"/>
    <w:rsid w:val="00F72A8C"/>
    <w:rsid w:val="00F7362C"/>
    <w:rsid w:val="00F73D90"/>
    <w:rsid w:val="00F740E0"/>
    <w:rsid w:val="00F74BCF"/>
    <w:rsid w:val="00F74CB6"/>
    <w:rsid w:val="00F74DE2"/>
    <w:rsid w:val="00F7501A"/>
    <w:rsid w:val="00F7511E"/>
    <w:rsid w:val="00F75449"/>
    <w:rsid w:val="00F7567C"/>
    <w:rsid w:val="00F7591D"/>
    <w:rsid w:val="00F76074"/>
    <w:rsid w:val="00F76176"/>
    <w:rsid w:val="00F76399"/>
    <w:rsid w:val="00F769EE"/>
    <w:rsid w:val="00F770FE"/>
    <w:rsid w:val="00F7734A"/>
    <w:rsid w:val="00F779F5"/>
    <w:rsid w:val="00F77D5B"/>
    <w:rsid w:val="00F800E0"/>
    <w:rsid w:val="00F80D73"/>
    <w:rsid w:val="00F810CF"/>
    <w:rsid w:val="00F81693"/>
    <w:rsid w:val="00F81C8C"/>
    <w:rsid w:val="00F84467"/>
    <w:rsid w:val="00F84838"/>
    <w:rsid w:val="00F84A55"/>
    <w:rsid w:val="00F84AFE"/>
    <w:rsid w:val="00F84BE8"/>
    <w:rsid w:val="00F85DB6"/>
    <w:rsid w:val="00F85E73"/>
    <w:rsid w:val="00F862AD"/>
    <w:rsid w:val="00F866B1"/>
    <w:rsid w:val="00F86BF8"/>
    <w:rsid w:val="00F87131"/>
    <w:rsid w:val="00F874AC"/>
    <w:rsid w:val="00F87B92"/>
    <w:rsid w:val="00F901D8"/>
    <w:rsid w:val="00F9026A"/>
    <w:rsid w:val="00F90A47"/>
    <w:rsid w:val="00F90B3B"/>
    <w:rsid w:val="00F90CD9"/>
    <w:rsid w:val="00F914C7"/>
    <w:rsid w:val="00F91A5C"/>
    <w:rsid w:val="00F920BE"/>
    <w:rsid w:val="00F92629"/>
    <w:rsid w:val="00F927DA"/>
    <w:rsid w:val="00F929FB"/>
    <w:rsid w:val="00F92AB7"/>
    <w:rsid w:val="00F92E8E"/>
    <w:rsid w:val="00F92FE1"/>
    <w:rsid w:val="00F93D28"/>
    <w:rsid w:val="00F93EC8"/>
    <w:rsid w:val="00F9439C"/>
    <w:rsid w:val="00F95042"/>
    <w:rsid w:val="00F96871"/>
    <w:rsid w:val="00F96C1B"/>
    <w:rsid w:val="00F971B1"/>
    <w:rsid w:val="00F9785F"/>
    <w:rsid w:val="00FA0147"/>
    <w:rsid w:val="00FA0366"/>
    <w:rsid w:val="00FA0454"/>
    <w:rsid w:val="00FA0757"/>
    <w:rsid w:val="00FA1329"/>
    <w:rsid w:val="00FA15EA"/>
    <w:rsid w:val="00FA16EA"/>
    <w:rsid w:val="00FA1A84"/>
    <w:rsid w:val="00FA1E3A"/>
    <w:rsid w:val="00FA23D1"/>
    <w:rsid w:val="00FA2C05"/>
    <w:rsid w:val="00FA35A2"/>
    <w:rsid w:val="00FA3EDD"/>
    <w:rsid w:val="00FA407C"/>
    <w:rsid w:val="00FA4122"/>
    <w:rsid w:val="00FA4D5E"/>
    <w:rsid w:val="00FA59E8"/>
    <w:rsid w:val="00FA5A61"/>
    <w:rsid w:val="00FA5BFB"/>
    <w:rsid w:val="00FA6036"/>
    <w:rsid w:val="00FA6AEF"/>
    <w:rsid w:val="00FA6F0E"/>
    <w:rsid w:val="00FA738C"/>
    <w:rsid w:val="00FA77EC"/>
    <w:rsid w:val="00FA7F56"/>
    <w:rsid w:val="00FB075D"/>
    <w:rsid w:val="00FB12B9"/>
    <w:rsid w:val="00FB1A3E"/>
    <w:rsid w:val="00FB1B5B"/>
    <w:rsid w:val="00FB2FAE"/>
    <w:rsid w:val="00FB305E"/>
    <w:rsid w:val="00FB3062"/>
    <w:rsid w:val="00FB3A25"/>
    <w:rsid w:val="00FB3BE9"/>
    <w:rsid w:val="00FB3E78"/>
    <w:rsid w:val="00FB43CF"/>
    <w:rsid w:val="00FB465C"/>
    <w:rsid w:val="00FB488B"/>
    <w:rsid w:val="00FB5CAA"/>
    <w:rsid w:val="00FB6C99"/>
    <w:rsid w:val="00FB6F52"/>
    <w:rsid w:val="00FC1B50"/>
    <w:rsid w:val="00FC1C14"/>
    <w:rsid w:val="00FC1C85"/>
    <w:rsid w:val="00FC2285"/>
    <w:rsid w:val="00FC22C7"/>
    <w:rsid w:val="00FC2ADC"/>
    <w:rsid w:val="00FC3686"/>
    <w:rsid w:val="00FC44BE"/>
    <w:rsid w:val="00FC4806"/>
    <w:rsid w:val="00FC4CCA"/>
    <w:rsid w:val="00FC50D6"/>
    <w:rsid w:val="00FC603C"/>
    <w:rsid w:val="00FC6783"/>
    <w:rsid w:val="00FC721C"/>
    <w:rsid w:val="00FC76F4"/>
    <w:rsid w:val="00FC7F5C"/>
    <w:rsid w:val="00FD03D6"/>
    <w:rsid w:val="00FD05F4"/>
    <w:rsid w:val="00FD0810"/>
    <w:rsid w:val="00FD0A4C"/>
    <w:rsid w:val="00FD1A59"/>
    <w:rsid w:val="00FD1DFE"/>
    <w:rsid w:val="00FD2615"/>
    <w:rsid w:val="00FD2FF9"/>
    <w:rsid w:val="00FD3286"/>
    <w:rsid w:val="00FD3C37"/>
    <w:rsid w:val="00FD3F1B"/>
    <w:rsid w:val="00FD4896"/>
    <w:rsid w:val="00FD50F0"/>
    <w:rsid w:val="00FD5712"/>
    <w:rsid w:val="00FD5E22"/>
    <w:rsid w:val="00FD655F"/>
    <w:rsid w:val="00FD6922"/>
    <w:rsid w:val="00FD6BEC"/>
    <w:rsid w:val="00FD6C8B"/>
    <w:rsid w:val="00FD72BC"/>
    <w:rsid w:val="00FD7445"/>
    <w:rsid w:val="00FD74A9"/>
    <w:rsid w:val="00FD783D"/>
    <w:rsid w:val="00FD7840"/>
    <w:rsid w:val="00FE00D8"/>
    <w:rsid w:val="00FE04EE"/>
    <w:rsid w:val="00FE080C"/>
    <w:rsid w:val="00FE0CB0"/>
    <w:rsid w:val="00FE288F"/>
    <w:rsid w:val="00FE2985"/>
    <w:rsid w:val="00FE2ABA"/>
    <w:rsid w:val="00FE3380"/>
    <w:rsid w:val="00FE42AC"/>
    <w:rsid w:val="00FE457A"/>
    <w:rsid w:val="00FE4D3C"/>
    <w:rsid w:val="00FE50A5"/>
    <w:rsid w:val="00FE50ED"/>
    <w:rsid w:val="00FE68E1"/>
    <w:rsid w:val="00FE7C69"/>
    <w:rsid w:val="00FF0AF8"/>
    <w:rsid w:val="00FF1164"/>
    <w:rsid w:val="00FF18D5"/>
    <w:rsid w:val="00FF19D4"/>
    <w:rsid w:val="00FF201B"/>
    <w:rsid w:val="00FF23DA"/>
    <w:rsid w:val="00FF2796"/>
    <w:rsid w:val="00FF2AA5"/>
    <w:rsid w:val="00FF3404"/>
    <w:rsid w:val="00FF46E9"/>
    <w:rsid w:val="00FF4DA3"/>
    <w:rsid w:val="00FF53A6"/>
    <w:rsid w:val="00FF5734"/>
    <w:rsid w:val="00FF5AFD"/>
    <w:rsid w:val="00FF65A9"/>
    <w:rsid w:val="00FF6680"/>
    <w:rsid w:val="00FF744C"/>
    <w:rsid w:val="00FF75D7"/>
    <w:rsid w:val="00FF7904"/>
    <w:rsid w:val="00FF7CDF"/>
    <w:rsid w:val="00FF7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03ED5B7"/>
  <w15:docId w15:val="{C4F9A7B1-709E-471B-B335-83946F3C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997"/>
    <w:rPr>
      <w:rFonts w:asciiTheme="majorHAnsi" w:eastAsiaTheme="minorEastAsia" w:hAnsiTheme="majorHAnsi"/>
      <w:sz w:val="24"/>
    </w:rPr>
  </w:style>
  <w:style w:type="paragraph" w:styleId="Heading1">
    <w:name w:val="heading 1"/>
    <w:basedOn w:val="Normal"/>
    <w:next w:val="Normal"/>
    <w:link w:val="Heading1Char"/>
    <w:uiPriority w:val="9"/>
    <w:qFormat/>
    <w:rsid w:val="00762883"/>
    <w:pPr>
      <w:keepNext/>
      <w:keepLines/>
      <w:spacing w:before="480"/>
      <w:outlineLvl w:val="0"/>
    </w:pPr>
    <w:rPr>
      <w:rFonts w:eastAsiaTheme="majorEastAsia" w:cstheme="majorBidi"/>
      <w:b/>
      <w:bCs/>
      <w:color w:val="3476B1" w:themeColor="accent1" w:themeShade="BF"/>
      <w:sz w:val="44"/>
      <w:szCs w:val="28"/>
    </w:rPr>
  </w:style>
  <w:style w:type="paragraph" w:styleId="Heading2">
    <w:name w:val="heading 2"/>
    <w:basedOn w:val="Normal"/>
    <w:next w:val="Normal"/>
    <w:link w:val="Heading2Char"/>
    <w:uiPriority w:val="9"/>
    <w:unhideWhenUsed/>
    <w:qFormat/>
    <w:rsid w:val="00BD0EFA"/>
    <w:pPr>
      <w:keepNext/>
      <w:keepLines/>
      <w:spacing w:before="200"/>
      <w:outlineLvl w:val="1"/>
    </w:pPr>
    <w:rPr>
      <w:rFonts w:eastAsiaTheme="majorEastAsia" w:cstheme="majorBidi"/>
      <w:b/>
      <w:bCs/>
      <w:color w:val="5B63B7" w:themeColor="text2" w:themeTint="99"/>
      <w:sz w:val="30"/>
      <w:szCs w:val="26"/>
    </w:rPr>
  </w:style>
  <w:style w:type="paragraph" w:styleId="Heading3">
    <w:name w:val="heading 3"/>
    <w:basedOn w:val="Normal"/>
    <w:next w:val="Normal"/>
    <w:link w:val="Heading3Char"/>
    <w:unhideWhenUsed/>
    <w:qFormat/>
    <w:rsid w:val="003A1C5E"/>
    <w:pPr>
      <w:keepNext/>
      <w:keepLines/>
      <w:spacing w:before="200"/>
      <w:outlineLvl w:val="2"/>
    </w:pPr>
    <w:rPr>
      <w:rFonts w:eastAsiaTheme="majorEastAsia" w:cstheme="majorBidi"/>
      <w:bCs/>
      <w:color w:val="0070C0"/>
      <w:sz w:val="26"/>
    </w:rPr>
  </w:style>
  <w:style w:type="paragraph" w:styleId="Heading4">
    <w:name w:val="heading 4"/>
    <w:basedOn w:val="Normal"/>
    <w:next w:val="Normal"/>
    <w:link w:val="Heading4Char"/>
    <w:uiPriority w:val="9"/>
    <w:unhideWhenUsed/>
    <w:qFormat/>
    <w:rsid w:val="00461AE4"/>
    <w:pPr>
      <w:keepNext/>
      <w:keepLines/>
      <w:spacing w:before="200"/>
      <w:outlineLvl w:val="3"/>
    </w:pPr>
    <w:rPr>
      <w:rFonts w:eastAsiaTheme="majorEastAsia" w:cstheme="majorBidi"/>
      <w:b/>
      <w:bCs/>
      <w:i/>
      <w:iCs/>
      <w:color w:val="5B63B7" w:themeColor="text2" w:themeTint="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883"/>
    <w:rPr>
      <w:rFonts w:asciiTheme="majorHAnsi" w:eastAsiaTheme="majorEastAsia" w:hAnsiTheme="majorHAnsi" w:cstheme="majorBidi"/>
      <w:b/>
      <w:bCs/>
      <w:color w:val="3476B1" w:themeColor="accent1" w:themeShade="BF"/>
      <w:sz w:val="44"/>
      <w:szCs w:val="28"/>
    </w:rPr>
  </w:style>
  <w:style w:type="character" w:customStyle="1" w:styleId="Heading2Char">
    <w:name w:val="Heading 2 Char"/>
    <w:basedOn w:val="DefaultParagraphFont"/>
    <w:link w:val="Heading2"/>
    <w:uiPriority w:val="9"/>
    <w:rsid w:val="00BD0EFA"/>
    <w:rPr>
      <w:rFonts w:asciiTheme="majorHAnsi" w:eastAsiaTheme="majorEastAsia" w:hAnsiTheme="majorHAnsi" w:cstheme="majorBidi"/>
      <w:b/>
      <w:bCs/>
      <w:color w:val="5B63B7" w:themeColor="text2" w:themeTint="99"/>
      <w:sz w:val="30"/>
      <w:szCs w:val="26"/>
    </w:rPr>
  </w:style>
  <w:style w:type="paragraph" w:styleId="Subtitle">
    <w:name w:val="Subtitle"/>
    <w:basedOn w:val="Normal"/>
    <w:next w:val="Normal"/>
    <w:link w:val="SubtitleChar"/>
    <w:uiPriority w:val="11"/>
    <w:qFormat/>
    <w:rsid w:val="00CE2511"/>
    <w:pPr>
      <w:numPr>
        <w:ilvl w:val="1"/>
      </w:numPr>
    </w:pPr>
    <w:rPr>
      <w:rFonts w:eastAsiaTheme="majorEastAsia" w:cstheme="majorBidi"/>
      <w:i/>
      <w:iCs/>
      <w:color w:val="629DD1" w:themeColor="accent1"/>
      <w:spacing w:val="15"/>
      <w:szCs w:val="24"/>
    </w:rPr>
  </w:style>
  <w:style w:type="character" w:customStyle="1" w:styleId="SubtitleChar">
    <w:name w:val="Subtitle Char"/>
    <w:basedOn w:val="DefaultParagraphFont"/>
    <w:link w:val="Subtitle"/>
    <w:uiPriority w:val="11"/>
    <w:rsid w:val="00CE2511"/>
    <w:rPr>
      <w:rFonts w:asciiTheme="majorHAnsi" w:eastAsiaTheme="majorEastAsia" w:hAnsiTheme="majorHAnsi" w:cstheme="majorBidi"/>
      <w:i/>
      <w:iCs/>
      <w:color w:val="629DD1" w:themeColor="accent1"/>
      <w:spacing w:val="15"/>
      <w:sz w:val="24"/>
      <w:szCs w:val="24"/>
    </w:rPr>
  </w:style>
  <w:style w:type="character" w:styleId="SubtleReference">
    <w:name w:val="Subtle Reference"/>
    <w:basedOn w:val="DefaultParagraphFont"/>
    <w:uiPriority w:val="31"/>
    <w:qFormat/>
    <w:rsid w:val="00CE2511"/>
    <w:rPr>
      <w:smallCaps/>
      <w:color w:val="297FD5" w:themeColor="accent2"/>
      <w:u w:val="single"/>
    </w:rPr>
  </w:style>
  <w:style w:type="paragraph" w:styleId="Title">
    <w:name w:val="Title"/>
    <w:basedOn w:val="Normal"/>
    <w:next w:val="Normal"/>
    <w:link w:val="TitleChar"/>
    <w:uiPriority w:val="10"/>
    <w:qFormat/>
    <w:rsid w:val="00B15E42"/>
    <w:pPr>
      <w:pBdr>
        <w:bottom w:val="single" w:sz="8" w:space="4" w:color="629DD1" w:themeColor="accent1"/>
      </w:pBdr>
      <w:spacing w:after="300"/>
      <w:contextualSpacing/>
    </w:pPr>
    <w:rPr>
      <w:rFonts w:eastAsiaTheme="majorEastAsia"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B15E42"/>
    <w:rPr>
      <w:rFonts w:asciiTheme="majorHAnsi" w:eastAsiaTheme="majorEastAsia" w:hAnsiTheme="majorHAnsi" w:cstheme="majorBidi"/>
      <w:color w:val="1B1D3D" w:themeColor="text2" w:themeShade="BF"/>
      <w:spacing w:val="5"/>
      <w:kern w:val="28"/>
      <w:sz w:val="52"/>
      <w:szCs w:val="52"/>
    </w:rPr>
  </w:style>
  <w:style w:type="paragraph" w:styleId="FootnoteText">
    <w:name w:val="footnote text"/>
    <w:basedOn w:val="Normal"/>
    <w:link w:val="FootnoteTextChar"/>
    <w:uiPriority w:val="99"/>
    <w:unhideWhenUsed/>
    <w:rsid w:val="00251662"/>
    <w:rPr>
      <w:sz w:val="20"/>
      <w:szCs w:val="20"/>
    </w:rPr>
  </w:style>
  <w:style w:type="character" w:customStyle="1" w:styleId="FootnoteTextChar">
    <w:name w:val="Footnote Text Char"/>
    <w:basedOn w:val="DefaultParagraphFont"/>
    <w:link w:val="FootnoteText"/>
    <w:uiPriority w:val="99"/>
    <w:qFormat/>
    <w:rsid w:val="00251662"/>
    <w:rPr>
      <w:rFonts w:asciiTheme="majorHAnsi" w:eastAsiaTheme="minorEastAsia" w:hAnsiTheme="majorHAnsi"/>
      <w:sz w:val="20"/>
      <w:szCs w:val="20"/>
    </w:rPr>
  </w:style>
  <w:style w:type="character" w:styleId="FootnoteReference">
    <w:name w:val="footnote reference"/>
    <w:basedOn w:val="DefaultParagraphFont"/>
    <w:uiPriority w:val="99"/>
    <w:unhideWhenUsed/>
    <w:rsid w:val="00251662"/>
    <w:rPr>
      <w:vertAlign w:val="superscript"/>
    </w:rPr>
  </w:style>
  <w:style w:type="paragraph" w:styleId="ListParagraph">
    <w:name w:val="List Paragraph"/>
    <w:basedOn w:val="Normal"/>
    <w:uiPriority w:val="34"/>
    <w:qFormat/>
    <w:rsid w:val="00B91153"/>
    <w:pPr>
      <w:ind w:left="720"/>
      <w:contextualSpacing/>
    </w:pPr>
  </w:style>
  <w:style w:type="character" w:styleId="CommentReference">
    <w:name w:val="annotation reference"/>
    <w:basedOn w:val="DefaultParagraphFont"/>
    <w:uiPriority w:val="99"/>
    <w:semiHidden/>
    <w:unhideWhenUsed/>
    <w:rsid w:val="00467E94"/>
    <w:rPr>
      <w:sz w:val="16"/>
      <w:szCs w:val="16"/>
    </w:rPr>
  </w:style>
  <w:style w:type="paragraph" w:styleId="CommentText">
    <w:name w:val="annotation text"/>
    <w:basedOn w:val="Normal"/>
    <w:link w:val="CommentTextChar"/>
    <w:uiPriority w:val="99"/>
    <w:semiHidden/>
    <w:unhideWhenUsed/>
    <w:rsid w:val="00467E94"/>
    <w:rPr>
      <w:sz w:val="20"/>
      <w:szCs w:val="20"/>
    </w:rPr>
  </w:style>
  <w:style w:type="character" w:customStyle="1" w:styleId="CommentTextChar">
    <w:name w:val="Comment Text Char"/>
    <w:basedOn w:val="DefaultParagraphFont"/>
    <w:link w:val="CommentText"/>
    <w:uiPriority w:val="99"/>
    <w:semiHidden/>
    <w:rsid w:val="00467E94"/>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467E94"/>
    <w:rPr>
      <w:b/>
      <w:bCs/>
    </w:rPr>
  </w:style>
  <w:style w:type="character" w:customStyle="1" w:styleId="CommentSubjectChar">
    <w:name w:val="Comment Subject Char"/>
    <w:basedOn w:val="CommentTextChar"/>
    <w:link w:val="CommentSubject"/>
    <w:uiPriority w:val="99"/>
    <w:semiHidden/>
    <w:rsid w:val="00467E94"/>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467E94"/>
    <w:rPr>
      <w:rFonts w:ascii="Tahoma" w:hAnsi="Tahoma" w:cs="Tahoma"/>
      <w:sz w:val="16"/>
      <w:szCs w:val="16"/>
    </w:rPr>
  </w:style>
  <w:style w:type="character" w:customStyle="1" w:styleId="BalloonTextChar">
    <w:name w:val="Balloon Text Char"/>
    <w:basedOn w:val="DefaultParagraphFont"/>
    <w:link w:val="BalloonText"/>
    <w:uiPriority w:val="99"/>
    <w:semiHidden/>
    <w:rsid w:val="00467E94"/>
    <w:rPr>
      <w:rFonts w:ascii="Tahoma" w:eastAsiaTheme="minorEastAsia" w:hAnsi="Tahoma" w:cs="Tahoma"/>
      <w:sz w:val="16"/>
      <w:szCs w:val="16"/>
    </w:rPr>
  </w:style>
  <w:style w:type="table" w:styleId="MediumGrid3-Accent4">
    <w:name w:val="Medium Grid 3 Accent 4"/>
    <w:basedOn w:val="TableNormal"/>
    <w:uiPriority w:val="69"/>
    <w:rsid w:val="009A18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4" w:themeFillTint="7F"/>
      </w:tcPr>
    </w:tblStylePr>
  </w:style>
  <w:style w:type="table" w:styleId="TableGrid">
    <w:name w:val="Table Grid"/>
    <w:basedOn w:val="TableNormal"/>
    <w:uiPriority w:val="39"/>
    <w:rsid w:val="009A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A1C5E"/>
    <w:rPr>
      <w:rFonts w:asciiTheme="majorHAnsi" w:eastAsiaTheme="majorEastAsia" w:hAnsiTheme="majorHAnsi" w:cstheme="majorBidi"/>
      <w:bCs/>
      <w:color w:val="0070C0"/>
      <w:sz w:val="26"/>
    </w:rPr>
  </w:style>
  <w:style w:type="character" w:styleId="Emphasis">
    <w:name w:val="Emphasis"/>
    <w:basedOn w:val="DefaultParagraphFont"/>
    <w:uiPriority w:val="20"/>
    <w:qFormat/>
    <w:rsid w:val="009A186F"/>
    <w:rPr>
      <w:i/>
      <w:iCs/>
    </w:rPr>
  </w:style>
  <w:style w:type="character" w:styleId="Hyperlink">
    <w:name w:val="Hyperlink"/>
    <w:basedOn w:val="DefaultParagraphFont"/>
    <w:uiPriority w:val="99"/>
    <w:unhideWhenUsed/>
    <w:rsid w:val="009A186F"/>
    <w:rPr>
      <w:color w:val="9454C3" w:themeColor="hyperlink"/>
      <w:u w:val="single"/>
    </w:rPr>
  </w:style>
  <w:style w:type="paragraph" w:styleId="NoSpacing">
    <w:name w:val="No Spacing"/>
    <w:uiPriority w:val="1"/>
    <w:qFormat/>
    <w:rsid w:val="009A186F"/>
    <w:rPr>
      <w:rFonts w:asciiTheme="majorHAnsi" w:eastAsiaTheme="minorEastAsia" w:hAnsiTheme="majorHAnsi"/>
      <w:sz w:val="24"/>
    </w:rPr>
  </w:style>
  <w:style w:type="paragraph" w:styleId="PlainText">
    <w:name w:val="Plain Text"/>
    <w:basedOn w:val="Normal"/>
    <w:link w:val="PlainTextChar"/>
    <w:uiPriority w:val="99"/>
    <w:semiHidden/>
    <w:unhideWhenUsed/>
    <w:rsid w:val="007067C7"/>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7067C7"/>
    <w:rPr>
      <w:rFonts w:ascii="Calibri" w:hAnsi="Calibri"/>
      <w:szCs w:val="21"/>
    </w:rPr>
  </w:style>
  <w:style w:type="paragraph" w:styleId="Header">
    <w:name w:val="header"/>
    <w:basedOn w:val="Normal"/>
    <w:link w:val="HeaderChar"/>
    <w:uiPriority w:val="99"/>
    <w:unhideWhenUsed/>
    <w:rsid w:val="00B932AC"/>
    <w:pPr>
      <w:tabs>
        <w:tab w:val="center" w:pos="4680"/>
        <w:tab w:val="right" w:pos="9360"/>
      </w:tabs>
    </w:pPr>
  </w:style>
  <w:style w:type="character" w:customStyle="1" w:styleId="HeaderChar">
    <w:name w:val="Header Char"/>
    <w:basedOn w:val="DefaultParagraphFont"/>
    <w:link w:val="Header"/>
    <w:uiPriority w:val="99"/>
    <w:rsid w:val="00B932AC"/>
    <w:rPr>
      <w:rFonts w:asciiTheme="majorHAnsi" w:eastAsiaTheme="minorEastAsia" w:hAnsiTheme="majorHAnsi"/>
      <w:sz w:val="24"/>
    </w:rPr>
  </w:style>
  <w:style w:type="paragraph" w:styleId="Footer">
    <w:name w:val="footer"/>
    <w:basedOn w:val="Normal"/>
    <w:link w:val="FooterChar"/>
    <w:uiPriority w:val="99"/>
    <w:unhideWhenUsed/>
    <w:rsid w:val="00B932AC"/>
    <w:pPr>
      <w:tabs>
        <w:tab w:val="center" w:pos="4680"/>
        <w:tab w:val="right" w:pos="9360"/>
      </w:tabs>
    </w:pPr>
  </w:style>
  <w:style w:type="character" w:customStyle="1" w:styleId="FooterChar">
    <w:name w:val="Footer Char"/>
    <w:basedOn w:val="DefaultParagraphFont"/>
    <w:link w:val="Footer"/>
    <w:uiPriority w:val="99"/>
    <w:rsid w:val="00B932AC"/>
    <w:rPr>
      <w:rFonts w:asciiTheme="majorHAnsi" w:eastAsiaTheme="minorEastAsia" w:hAnsiTheme="majorHAnsi"/>
      <w:sz w:val="24"/>
    </w:rPr>
  </w:style>
  <w:style w:type="paragraph" w:customStyle="1" w:styleId="Style1">
    <w:name w:val="Style1"/>
    <w:basedOn w:val="Title"/>
    <w:qFormat/>
    <w:rsid w:val="00995332"/>
  </w:style>
  <w:style w:type="paragraph" w:styleId="TOCHeading">
    <w:name w:val="TOC Heading"/>
    <w:basedOn w:val="Heading1"/>
    <w:next w:val="Normal"/>
    <w:uiPriority w:val="39"/>
    <w:unhideWhenUsed/>
    <w:qFormat/>
    <w:rsid w:val="00995332"/>
    <w:pPr>
      <w:spacing w:line="276" w:lineRule="auto"/>
      <w:outlineLvl w:val="9"/>
    </w:pPr>
    <w:rPr>
      <w:lang w:eastAsia="ja-JP"/>
    </w:rPr>
  </w:style>
  <w:style w:type="paragraph" w:styleId="TOC1">
    <w:name w:val="toc 1"/>
    <w:basedOn w:val="Normal"/>
    <w:next w:val="Normal"/>
    <w:autoRedefine/>
    <w:uiPriority w:val="39"/>
    <w:unhideWhenUsed/>
    <w:rsid w:val="00995332"/>
    <w:pPr>
      <w:spacing w:after="100"/>
    </w:pPr>
  </w:style>
  <w:style w:type="paragraph" w:styleId="TOC2">
    <w:name w:val="toc 2"/>
    <w:basedOn w:val="Normal"/>
    <w:next w:val="Normal"/>
    <w:autoRedefine/>
    <w:uiPriority w:val="39"/>
    <w:unhideWhenUsed/>
    <w:rsid w:val="00504D1F"/>
    <w:pPr>
      <w:tabs>
        <w:tab w:val="right" w:leader="dot" w:pos="9350"/>
      </w:tabs>
      <w:spacing w:after="100"/>
      <w:ind w:left="240"/>
      <w:jc w:val="center"/>
    </w:pPr>
  </w:style>
  <w:style w:type="paragraph" w:styleId="TOC3">
    <w:name w:val="toc 3"/>
    <w:basedOn w:val="Normal"/>
    <w:next w:val="Normal"/>
    <w:autoRedefine/>
    <w:uiPriority w:val="39"/>
    <w:unhideWhenUsed/>
    <w:rsid w:val="00E66B29"/>
    <w:pPr>
      <w:tabs>
        <w:tab w:val="right" w:leader="dot" w:pos="9350"/>
      </w:tabs>
      <w:spacing w:after="100"/>
      <w:ind w:left="480"/>
    </w:pPr>
    <w:rPr>
      <w:b/>
      <w:noProof/>
    </w:rPr>
  </w:style>
  <w:style w:type="character" w:customStyle="1" w:styleId="Heading4Char">
    <w:name w:val="Heading 4 Char"/>
    <w:basedOn w:val="DefaultParagraphFont"/>
    <w:link w:val="Heading4"/>
    <w:uiPriority w:val="9"/>
    <w:rsid w:val="00461AE4"/>
    <w:rPr>
      <w:rFonts w:asciiTheme="majorHAnsi" w:eastAsiaTheme="majorEastAsia" w:hAnsiTheme="majorHAnsi" w:cstheme="majorBidi"/>
      <w:b/>
      <w:bCs/>
      <w:i/>
      <w:iCs/>
      <w:color w:val="5B63B7" w:themeColor="text2" w:themeTint="99"/>
      <w:sz w:val="24"/>
    </w:rPr>
  </w:style>
  <w:style w:type="character" w:styleId="FollowedHyperlink">
    <w:name w:val="FollowedHyperlink"/>
    <w:basedOn w:val="DefaultParagraphFont"/>
    <w:uiPriority w:val="99"/>
    <w:semiHidden/>
    <w:unhideWhenUsed/>
    <w:rsid w:val="00BD4D37"/>
    <w:rPr>
      <w:color w:val="3EBBF0" w:themeColor="followedHyperlink"/>
      <w:u w:val="single"/>
    </w:rPr>
  </w:style>
  <w:style w:type="character" w:customStyle="1" w:styleId="apple-converted-space">
    <w:name w:val="apple-converted-space"/>
    <w:basedOn w:val="DefaultParagraphFont"/>
    <w:rsid w:val="008878DE"/>
  </w:style>
  <w:style w:type="paragraph" w:customStyle="1" w:styleId="TableContents">
    <w:name w:val="Table Contents"/>
    <w:basedOn w:val="Normal"/>
    <w:rsid w:val="00FC44BE"/>
    <w:pPr>
      <w:suppressLineNumbers/>
      <w:suppressAutoHyphens/>
      <w:spacing w:after="200" w:line="276" w:lineRule="auto"/>
    </w:pPr>
    <w:rPr>
      <w:rFonts w:ascii="Calibri" w:eastAsia="Calibri" w:hAnsi="Calibri" w:cs="font291"/>
      <w:sz w:val="22"/>
    </w:rPr>
  </w:style>
  <w:style w:type="paragraph" w:customStyle="1" w:styleId="western">
    <w:name w:val="western"/>
    <w:basedOn w:val="Normal"/>
    <w:rsid w:val="00A33D6C"/>
    <w:pPr>
      <w:spacing w:before="100" w:beforeAutospacing="1" w:after="144" w:line="276" w:lineRule="auto"/>
    </w:pPr>
    <w:rPr>
      <w:rFonts w:ascii="Calibri" w:eastAsia="Times New Roman" w:hAnsi="Calibri" w:cs="Calibri"/>
      <w:color w:val="000000"/>
      <w:szCs w:val="24"/>
    </w:rPr>
  </w:style>
  <w:style w:type="table" w:customStyle="1" w:styleId="TableGrid1">
    <w:name w:val="Table Grid1"/>
    <w:basedOn w:val="TableNormal"/>
    <w:next w:val="TableGrid"/>
    <w:uiPriority w:val="59"/>
    <w:rsid w:val="001100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qFormat/>
    <w:rsid w:val="00854552"/>
    <w:rPr>
      <w:vertAlign w:val="superscript"/>
    </w:rPr>
  </w:style>
  <w:style w:type="character" w:customStyle="1" w:styleId="FootnoteAnchor">
    <w:name w:val="Footnote Anchor"/>
    <w:rsid w:val="00854552"/>
    <w:rPr>
      <w:vertAlign w:val="superscript"/>
    </w:rPr>
  </w:style>
  <w:style w:type="numbering" w:customStyle="1" w:styleId="NoList1">
    <w:name w:val="No List1"/>
    <w:next w:val="NoList"/>
    <w:uiPriority w:val="99"/>
    <w:semiHidden/>
    <w:unhideWhenUsed/>
    <w:rsid w:val="00FE42AC"/>
  </w:style>
  <w:style w:type="numbering" w:customStyle="1" w:styleId="NoList2">
    <w:name w:val="No List2"/>
    <w:next w:val="NoList"/>
    <w:uiPriority w:val="99"/>
    <w:semiHidden/>
    <w:unhideWhenUsed/>
    <w:rsid w:val="00764796"/>
  </w:style>
  <w:style w:type="character" w:customStyle="1" w:styleId="nlmarticle-title">
    <w:name w:val="nlm_article-title"/>
    <w:basedOn w:val="DefaultParagraphFont"/>
    <w:rsid w:val="00692C6D"/>
  </w:style>
  <w:style w:type="character" w:customStyle="1" w:styleId="hlfld-contribauthor">
    <w:name w:val="hlfld-contribauthor"/>
    <w:basedOn w:val="DefaultParagraphFont"/>
    <w:rsid w:val="00692C6D"/>
  </w:style>
  <w:style w:type="character" w:customStyle="1" w:styleId="nlmgiven-names">
    <w:name w:val="nlm_given-names"/>
    <w:basedOn w:val="DefaultParagraphFont"/>
    <w:rsid w:val="00692C6D"/>
  </w:style>
  <w:style w:type="character" w:customStyle="1" w:styleId="nlmyear">
    <w:name w:val="nlm_year"/>
    <w:basedOn w:val="DefaultParagraphFont"/>
    <w:rsid w:val="00692C6D"/>
  </w:style>
  <w:style w:type="character" w:customStyle="1" w:styleId="nlmfpage">
    <w:name w:val="nlm_fpage"/>
    <w:basedOn w:val="DefaultParagraphFont"/>
    <w:rsid w:val="00692C6D"/>
  </w:style>
  <w:style w:type="character" w:customStyle="1" w:styleId="nlmlpage">
    <w:name w:val="nlm_lpage"/>
    <w:basedOn w:val="DefaultParagraphFont"/>
    <w:rsid w:val="00692C6D"/>
  </w:style>
  <w:style w:type="character" w:customStyle="1" w:styleId="il">
    <w:name w:val="il"/>
    <w:basedOn w:val="DefaultParagraphFont"/>
    <w:rsid w:val="00666E83"/>
  </w:style>
  <w:style w:type="paragraph" w:styleId="NormalWeb">
    <w:name w:val="Normal (Web)"/>
    <w:basedOn w:val="Normal"/>
    <w:uiPriority w:val="99"/>
    <w:semiHidden/>
    <w:unhideWhenUsed/>
    <w:rsid w:val="00A27D91"/>
    <w:pPr>
      <w:spacing w:before="100" w:beforeAutospacing="1" w:after="144" w:line="276" w:lineRule="auto"/>
    </w:pPr>
    <w:rPr>
      <w:rFonts w:ascii="Times New Roman" w:eastAsia="Times New Roman" w:hAnsi="Times New Roman" w:cs="Times New Roman"/>
      <w:szCs w:val="24"/>
    </w:rPr>
  </w:style>
  <w:style w:type="table" w:styleId="GridTable6Colorful-Accent1">
    <w:name w:val="Grid Table 6 Colorful Accent 1"/>
    <w:basedOn w:val="TableNormal"/>
    <w:uiPriority w:val="51"/>
    <w:rsid w:val="00AF1901"/>
    <w:pPr>
      <w:spacing w:after="0"/>
    </w:pPr>
    <w:rPr>
      <w:color w:val="3476B1" w:themeColor="accent1" w:themeShade="BF"/>
    </w:rPr>
    <w:tblPr>
      <w:tblStyleRowBandSize w:val="1"/>
      <w:tblStyleColBandSize w:val="1"/>
      <w:tblBorders>
        <w:top w:val="single" w:sz="4" w:space="0" w:color="A0C3E3" w:themeColor="accent1" w:themeTint="99"/>
        <w:left w:val="single" w:sz="4" w:space="0" w:color="A0C3E3" w:themeColor="accent1" w:themeTint="99"/>
        <w:bottom w:val="single" w:sz="4" w:space="0" w:color="A0C3E3" w:themeColor="accent1" w:themeTint="99"/>
        <w:right w:val="single" w:sz="4" w:space="0" w:color="A0C3E3" w:themeColor="accent1" w:themeTint="99"/>
        <w:insideH w:val="single" w:sz="4" w:space="0" w:color="A0C3E3" w:themeColor="accent1" w:themeTint="99"/>
        <w:insideV w:val="single" w:sz="4" w:space="0" w:color="A0C3E3" w:themeColor="accent1" w:themeTint="99"/>
      </w:tblBorders>
    </w:tblPr>
    <w:tblStylePr w:type="firstRow">
      <w:rPr>
        <w:b/>
        <w:bCs/>
      </w:rPr>
      <w:tblPr/>
      <w:tcPr>
        <w:tcBorders>
          <w:bottom w:val="single" w:sz="12" w:space="0" w:color="A0C3E3" w:themeColor="accent1" w:themeTint="99"/>
        </w:tcBorders>
      </w:tcPr>
    </w:tblStylePr>
    <w:tblStylePr w:type="lastRow">
      <w:rPr>
        <w:b/>
        <w:bCs/>
      </w:rPr>
      <w:tblPr/>
      <w:tcPr>
        <w:tcBorders>
          <w:top w:val="double" w:sz="4" w:space="0" w:color="A0C3E3" w:themeColor="accent1" w:themeTint="99"/>
        </w:tcBorders>
      </w:tcPr>
    </w:tblStylePr>
    <w:tblStylePr w:type="firstCol">
      <w:rPr>
        <w:b/>
        <w:bCs/>
      </w:rPr>
    </w:tblStylePr>
    <w:tblStylePr w:type="lastCol">
      <w:rPr>
        <w:b/>
        <w:bCs/>
      </w:rPr>
    </w:tblStylePr>
    <w:tblStylePr w:type="band1Vert">
      <w:tblPr/>
      <w:tcPr>
        <w:shd w:val="clear" w:color="auto" w:fill="DFEBF5" w:themeFill="accent1" w:themeFillTint="33"/>
      </w:tcPr>
    </w:tblStylePr>
    <w:tblStylePr w:type="band1Horz">
      <w:tblPr/>
      <w:tcPr>
        <w:shd w:val="clear" w:color="auto" w:fill="DFEBF5" w:themeFill="accent1" w:themeFillTint="33"/>
      </w:tcPr>
    </w:tblStylePr>
  </w:style>
  <w:style w:type="table" w:styleId="GridTable1Light-Accent2">
    <w:name w:val="Grid Table 1 Light Accent 2"/>
    <w:basedOn w:val="TableNormal"/>
    <w:uiPriority w:val="46"/>
    <w:rsid w:val="00AF1901"/>
    <w:pPr>
      <w:spacing w:after="0"/>
    </w:pPr>
    <w:tblPr>
      <w:tblStyleRowBandSize w:val="1"/>
      <w:tblStyleColBandSize w:val="1"/>
      <w:tblBorders>
        <w:top w:val="single" w:sz="4" w:space="0" w:color="A8CBEE" w:themeColor="accent2" w:themeTint="66"/>
        <w:left w:val="single" w:sz="4" w:space="0" w:color="A8CBEE" w:themeColor="accent2" w:themeTint="66"/>
        <w:bottom w:val="single" w:sz="4" w:space="0" w:color="A8CBEE" w:themeColor="accent2" w:themeTint="66"/>
        <w:right w:val="single" w:sz="4" w:space="0" w:color="A8CBEE" w:themeColor="accent2" w:themeTint="66"/>
        <w:insideH w:val="single" w:sz="4" w:space="0" w:color="A8CBEE" w:themeColor="accent2" w:themeTint="66"/>
        <w:insideV w:val="single" w:sz="4" w:space="0" w:color="A8CBEE" w:themeColor="accent2" w:themeTint="66"/>
      </w:tblBorders>
    </w:tblPr>
    <w:tblStylePr w:type="firstRow">
      <w:rPr>
        <w:b/>
        <w:bCs/>
      </w:rPr>
      <w:tblPr/>
      <w:tcPr>
        <w:tcBorders>
          <w:bottom w:val="single" w:sz="12" w:space="0" w:color="7EB1E6" w:themeColor="accent2" w:themeTint="99"/>
        </w:tcBorders>
      </w:tcPr>
    </w:tblStylePr>
    <w:tblStylePr w:type="lastRow">
      <w:rPr>
        <w:b/>
        <w:bCs/>
      </w:rPr>
      <w:tblPr/>
      <w:tcPr>
        <w:tcBorders>
          <w:top w:val="double" w:sz="2" w:space="0" w:color="7EB1E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1901"/>
    <w:pPr>
      <w:spacing w:after="0"/>
    </w:pPr>
    <w:tblPr>
      <w:tblStyleRowBandSize w:val="1"/>
      <w:tblStyleColBandSize w:val="1"/>
      <w:tblBorders>
        <w:top w:val="single" w:sz="4" w:space="0" w:color="CBD2DC" w:themeColor="accent3" w:themeTint="66"/>
        <w:left w:val="single" w:sz="4" w:space="0" w:color="CBD2DC" w:themeColor="accent3" w:themeTint="66"/>
        <w:bottom w:val="single" w:sz="4" w:space="0" w:color="CBD2DC" w:themeColor="accent3" w:themeTint="66"/>
        <w:right w:val="single" w:sz="4" w:space="0" w:color="CBD2DC" w:themeColor="accent3" w:themeTint="66"/>
        <w:insideH w:val="single" w:sz="4" w:space="0" w:color="CBD2DC" w:themeColor="accent3" w:themeTint="66"/>
        <w:insideV w:val="single" w:sz="4" w:space="0" w:color="CBD2DC" w:themeColor="accent3" w:themeTint="66"/>
      </w:tblBorders>
    </w:tblPr>
    <w:tblStylePr w:type="firstRow">
      <w:rPr>
        <w:b/>
        <w:bCs/>
      </w:rPr>
      <w:tblPr/>
      <w:tcPr>
        <w:tcBorders>
          <w:bottom w:val="single" w:sz="12" w:space="0" w:color="B2BBCB" w:themeColor="accent3" w:themeTint="99"/>
        </w:tcBorders>
      </w:tcPr>
    </w:tblStylePr>
    <w:tblStylePr w:type="lastRow">
      <w:rPr>
        <w:b/>
        <w:bCs/>
      </w:rPr>
      <w:tblPr/>
      <w:tcPr>
        <w:tcBorders>
          <w:top w:val="double" w:sz="2" w:space="0" w:color="B2BBC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1901"/>
    <w:pPr>
      <w:spacing w:after="0"/>
    </w:pPr>
    <w:tblPr>
      <w:tblStyleRowBandSize w:val="1"/>
      <w:tblStyleColBandSize w:val="1"/>
      <w:tblBorders>
        <w:top w:val="single" w:sz="4" w:space="0" w:color="B5C0DF" w:themeColor="accent4" w:themeTint="66"/>
        <w:left w:val="single" w:sz="4" w:space="0" w:color="B5C0DF" w:themeColor="accent4" w:themeTint="66"/>
        <w:bottom w:val="single" w:sz="4" w:space="0" w:color="B5C0DF" w:themeColor="accent4" w:themeTint="66"/>
        <w:right w:val="single" w:sz="4" w:space="0" w:color="B5C0DF" w:themeColor="accent4" w:themeTint="66"/>
        <w:insideH w:val="single" w:sz="4" w:space="0" w:color="B5C0DF" w:themeColor="accent4" w:themeTint="66"/>
        <w:insideV w:val="single" w:sz="4" w:space="0" w:color="B5C0DF" w:themeColor="accent4" w:themeTint="66"/>
      </w:tblBorders>
    </w:tblPr>
    <w:tblStylePr w:type="firstRow">
      <w:rPr>
        <w:b/>
        <w:bCs/>
      </w:rPr>
      <w:tblPr/>
      <w:tcPr>
        <w:tcBorders>
          <w:bottom w:val="single" w:sz="12" w:space="0" w:color="90A1CF" w:themeColor="accent4" w:themeTint="99"/>
        </w:tcBorders>
      </w:tcPr>
    </w:tblStylePr>
    <w:tblStylePr w:type="lastRow">
      <w:rPr>
        <w:b/>
        <w:bCs/>
      </w:rPr>
      <w:tblPr/>
      <w:tcPr>
        <w:tcBorders>
          <w:top w:val="double" w:sz="2" w:space="0" w:color="90A1CF" w:themeColor="accent4"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AF190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1"/>
      </w:tcPr>
    </w:tblStylePr>
    <w:tblStylePr w:type="band1Vert">
      <w:tblPr/>
      <w:tcPr>
        <w:shd w:val="clear" w:color="auto" w:fill="C0D7EC" w:themeFill="accent1" w:themeFillTint="66"/>
      </w:tcPr>
    </w:tblStylePr>
    <w:tblStylePr w:type="band1Horz">
      <w:tblPr/>
      <w:tcPr>
        <w:shd w:val="clear" w:color="auto" w:fill="C0D7EC" w:themeFill="accent1" w:themeFillTint="66"/>
      </w:tcPr>
    </w:tblStylePr>
  </w:style>
  <w:style w:type="table" w:styleId="GridTable4-Accent1">
    <w:name w:val="Grid Table 4 Accent 1"/>
    <w:basedOn w:val="TableNormal"/>
    <w:uiPriority w:val="49"/>
    <w:rsid w:val="00AF1901"/>
    <w:pPr>
      <w:spacing w:after="0"/>
    </w:pPr>
    <w:tblPr>
      <w:tblStyleRowBandSize w:val="1"/>
      <w:tblStyleColBandSize w:val="1"/>
      <w:tblBorders>
        <w:top w:val="single" w:sz="4" w:space="0" w:color="A0C3E3" w:themeColor="accent1" w:themeTint="99"/>
        <w:left w:val="single" w:sz="4" w:space="0" w:color="A0C3E3" w:themeColor="accent1" w:themeTint="99"/>
        <w:bottom w:val="single" w:sz="4" w:space="0" w:color="A0C3E3" w:themeColor="accent1" w:themeTint="99"/>
        <w:right w:val="single" w:sz="4" w:space="0" w:color="A0C3E3" w:themeColor="accent1" w:themeTint="99"/>
        <w:insideH w:val="single" w:sz="4" w:space="0" w:color="A0C3E3" w:themeColor="accent1" w:themeTint="99"/>
        <w:insideV w:val="single" w:sz="4" w:space="0" w:color="A0C3E3" w:themeColor="accent1" w:themeTint="99"/>
      </w:tblBorders>
    </w:tblPr>
    <w:tblStylePr w:type="firstRow">
      <w:rPr>
        <w:b/>
        <w:bCs/>
        <w:color w:val="FFFFFF" w:themeColor="background1"/>
      </w:rPr>
      <w:tblPr/>
      <w:tcPr>
        <w:tcBorders>
          <w:top w:val="single" w:sz="4" w:space="0" w:color="629DD1" w:themeColor="accent1"/>
          <w:left w:val="single" w:sz="4" w:space="0" w:color="629DD1" w:themeColor="accent1"/>
          <w:bottom w:val="single" w:sz="4" w:space="0" w:color="629DD1" w:themeColor="accent1"/>
          <w:right w:val="single" w:sz="4" w:space="0" w:color="629DD1" w:themeColor="accent1"/>
          <w:insideH w:val="nil"/>
          <w:insideV w:val="nil"/>
        </w:tcBorders>
        <w:shd w:val="clear" w:color="auto" w:fill="629DD1" w:themeFill="accent1"/>
      </w:tcPr>
    </w:tblStylePr>
    <w:tblStylePr w:type="lastRow">
      <w:rPr>
        <w:b/>
        <w:bCs/>
      </w:rPr>
      <w:tblPr/>
      <w:tcPr>
        <w:tcBorders>
          <w:top w:val="double" w:sz="4" w:space="0" w:color="629DD1" w:themeColor="accent1"/>
        </w:tcBorders>
      </w:tcPr>
    </w:tblStylePr>
    <w:tblStylePr w:type="firstCol">
      <w:rPr>
        <w:b/>
        <w:bCs/>
      </w:rPr>
    </w:tblStylePr>
    <w:tblStylePr w:type="lastCol">
      <w:rPr>
        <w:b/>
        <w:bCs/>
      </w:rPr>
    </w:tblStylePr>
    <w:tblStylePr w:type="band1Vert">
      <w:tblPr/>
      <w:tcPr>
        <w:shd w:val="clear" w:color="auto" w:fill="DFEBF5" w:themeFill="accent1" w:themeFillTint="33"/>
      </w:tcPr>
    </w:tblStylePr>
    <w:tblStylePr w:type="band1Horz">
      <w:tblPr/>
      <w:tcPr>
        <w:shd w:val="clear" w:color="auto" w:fill="DFEB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1798">
      <w:bodyDiv w:val="1"/>
      <w:marLeft w:val="0"/>
      <w:marRight w:val="0"/>
      <w:marTop w:val="0"/>
      <w:marBottom w:val="0"/>
      <w:divBdr>
        <w:top w:val="none" w:sz="0" w:space="0" w:color="auto"/>
        <w:left w:val="none" w:sz="0" w:space="0" w:color="auto"/>
        <w:bottom w:val="none" w:sz="0" w:space="0" w:color="auto"/>
        <w:right w:val="none" w:sz="0" w:space="0" w:color="auto"/>
      </w:divBdr>
    </w:div>
    <w:div w:id="521283705">
      <w:bodyDiv w:val="1"/>
      <w:marLeft w:val="0"/>
      <w:marRight w:val="0"/>
      <w:marTop w:val="0"/>
      <w:marBottom w:val="0"/>
      <w:divBdr>
        <w:top w:val="none" w:sz="0" w:space="0" w:color="auto"/>
        <w:left w:val="none" w:sz="0" w:space="0" w:color="auto"/>
        <w:bottom w:val="none" w:sz="0" w:space="0" w:color="auto"/>
        <w:right w:val="none" w:sz="0" w:space="0" w:color="auto"/>
      </w:divBdr>
    </w:div>
    <w:div w:id="1661692539">
      <w:bodyDiv w:val="1"/>
      <w:marLeft w:val="0"/>
      <w:marRight w:val="0"/>
      <w:marTop w:val="0"/>
      <w:marBottom w:val="0"/>
      <w:divBdr>
        <w:top w:val="none" w:sz="0" w:space="0" w:color="auto"/>
        <w:left w:val="none" w:sz="0" w:space="0" w:color="auto"/>
        <w:bottom w:val="none" w:sz="0" w:space="0" w:color="auto"/>
        <w:right w:val="none" w:sz="0" w:space="0" w:color="auto"/>
      </w:divBdr>
    </w:div>
    <w:div w:id="1886285409">
      <w:bodyDiv w:val="1"/>
      <w:marLeft w:val="0"/>
      <w:marRight w:val="0"/>
      <w:marTop w:val="0"/>
      <w:marBottom w:val="0"/>
      <w:divBdr>
        <w:top w:val="none" w:sz="0" w:space="0" w:color="auto"/>
        <w:left w:val="none" w:sz="0" w:space="0" w:color="auto"/>
        <w:bottom w:val="none" w:sz="0" w:space="0" w:color="auto"/>
        <w:right w:val="none" w:sz="0" w:space="0" w:color="auto"/>
      </w:divBdr>
    </w:div>
    <w:div w:id="21154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coanet.org/standard/fps/purpose.pdf" TargetMode="External"/><Relationship Id="rId3" Type="http://schemas.openxmlformats.org/officeDocument/2006/relationships/hyperlink" Target="https://www.michigan.gov/documents/gtfcj/Staff_Turnover__Recurrent_CA-3-06-NCCA_187006_7.pdf" TargetMode="External"/><Relationship Id="rId7" Type="http://schemas.openxmlformats.org/officeDocument/2006/relationships/hyperlink" Target="http://coanet.org/standard/fkc/purpose.pdf" TargetMode="External"/><Relationship Id="rId12" Type="http://schemas.openxmlformats.org/officeDocument/2006/relationships/hyperlink" Target="https://www.aecf.org/resources/five-steps-to-a-stronger-child-welfare-workforce/" TargetMode="External"/><Relationship Id="rId2" Type="http://schemas.openxmlformats.org/officeDocument/2006/relationships/hyperlink" Target="https://caseyfamilypro-wpengine.netdna-ssl.com/media/HO_Turnover-Costs_and_Retention_Strategies-1.pdf" TargetMode="External"/><Relationship Id="rId1" Type="http://schemas.openxmlformats.org/officeDocument/2006/relationships/hyperlink" Target="https://www.ilga.gov/legislation/publicacts/100/100-0879.htm" TargetMode="External"/><Relationship Id="rId6" Type="http://schemas.openxmlformats.org/officeDocument/2006/relationships/hyperlink" Target="http://coanet.org/standard/cps/purpose.pdf" TargetMode="External"/><Relationship Id="rId11" Type="http://schemas.openxmlformats.org/officeDocument/2006/relationships/hyperlink" Target="https://www.cebc4cw.org/ratings/scientific-rating-scale/" TargetMode="External"/><Relationship Id="rId5" Type="http://schemas.openxmlformats.org/officeDocument/2006/relationships/hyperlink" Target="https://www.michigan.gov/documents/gtfcj/Staff_Turnover__Recurrent_CA-3-06-NCCA_187006_7.pdf" TargetMode="External"/><Relationship Id="rId10" Type="http://schemas.openxmlformats.org/officeDocument/2006/relationships/hyperlink" Target="https://www.michigan.gov/documents/gtfcj/Staff_Turnover__Recurrent_CA-3-06-NCCA_187006_7.pdf" TargetMode="External"/><Relationship Id="rId4" Type="http://schemas.openxmlformats.org/officeDocument/2006/relationships/hyperlink" Target="https://uh.edu/socialwork/_docs/cwep/national-iv-e/turnoverstudy.pdf" TargetMode="External"/><Relationship Id="rId9" Type="http://schemas.openxmlformats.org/officeDocument/2006/relationships/hyperlink" Target="https://www.michigan.gov/documents/gtfcj/Staff_Turnover__Recurrent_CA-3-06-NCCA_187006_7.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low">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7288B-4BC0-4616-B72D-8B9A3C12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11479</Words>
  <Characters>65431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76757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Shufen</dc:creator>
  <cp:lastModifiedBy>Fuller, Tamara L</cp:lastModifiedBy>
  <cp:revision>5</cp:revision>
  <cp:lastPrinted>2020-06-04T22:57:00Z</cp:lastPrinted>
  <dcterms:created xsi:type="dcterms:W3CDTF">2020-10-01T05:10:00Z</dcterms:created>
  <dcterms:modified xsi:type="dcterms:W3CDTF">2020-10-01T05:12:00Z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1672904882</vt:i4>
  </property>
  <property fmtid="{D5CDD505-2E9C-101B-9397-08002B2CF9AE}" pid="4" name="_EmailSubject">
    <vt:lpwstr>DCFS Work Force Task Preliminary Report</vt:lpwstr>
  </property>
  <property fmtid="{D5CDD505-2E9C-101B-9397-08002B2CF9AE}" pid="5" name="_AuthorEmail">
    <vt:lpwstr>Alexa.Koziol@illinois.gov</vt:lpwstr>
  </property>
  <property fmtid="{D5CDD505-2E9C-101B-9397-08002B2CF9AE}" pid="6" name="_AuthorEmailDisplayName">
    <vt:lpwstr>Koziol, Alexa</vt:lpwstr>
  </property>
</Properties>
</file>